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关于开展</w:t>
      </w:r>
      <w:r>
        <w:rPr>
          <w:rFonts w:hint="eastAsia"/>
          <w:lang w:eastAsia="zh-CN"/>
        </w:rPr>
        <w:t>“</w:t>
      </w:r>
      <w:r>
        <w:rPr>
          <w:rFonts w:hint="eastAsia"/>
        </w:rPr>
        <w:t>护眼大使</w:t>
      </w:r>
      <w:r>
        <w:rPr>
          <w:rFonts w:hint="eastAsia"/>
          <w:lang w:eastAsia="zh-CN"/>
        </w:rPr>
        <w:t>”</w:t>
      </w:r>
      <w:r>
        <w:rPr>
          <w:rFonts w:hint="eastAsia"/>
        </w:rPr>
        <w:t>培训活动的通知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加强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员工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对眼部疾病的了解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学习更多眼部专业知识，准确地推荐眼部护理药品及联合用药，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公司将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于7月5日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展”护眼大使”培训活动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具体培训事宜通知如下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2820"/>
        <w:gridCol w:w="2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孙匀燕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十二桥店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聚萃店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张龙禹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佳灵路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何方喜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沙湾东一路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周贤吉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驷马桥店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刁乐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新都马超东路店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医贸大道店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华美东街店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水碾河店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公济桥店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榕生路店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蔺佳敏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万科路店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金祥路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向桂西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谭凤旭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泰和二街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欧逐月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严善群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丝竹路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高攀西巷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元华二巷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邛崃杏林店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王李秋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大邑金巷西街店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蜀州中路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三强西路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陈维凤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锦华店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四、培训奖励</w:t>
      </w:r>
    </w:p>
    <w:tbl>
      <w:tblPr>
        <w:tblStyle w:val="3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902"/>
        <w:gridCol w:w="4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0C6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0C6D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现场奖励：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一战到底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第一名：奖励空气炸锅一个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活动最后奖励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伴手礼：十粒装，蒸汽眼罩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第一名：十粒装，蒸汽眼罩，护眼仪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第二名：十粒装，蒸汽眼罩，毛巾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社群奖励：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1.首单奖励，每日首单10元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2.7月和8月，每月门店达成10盒奖励100元，达成20盒奖励300元；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夏季工作服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如有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请假，请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片区主管另安排人员参加培训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4C44AA4"/>
    <w:rsid w:val="32FF0DF2"/>
    <w:rsid w:val="52C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1139</Words>
  <Characters>1218</Characters>
  <Lines>0</Lines>
  <Paragraphs>0</Paragraphs>
  <TotalTime>16</TotalTime>
  <ScaleCrop>false</ScaleCrop>
  <LinksUpToDate>false</LinksUpToDate>
  <CharactersWithSpaces>1218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2024-06-27T02:35:00Z</dcterms:created>
  <dc:creator>Administrator</dc:creator>
  <cp:lastModifiedBy>张蓉</cp:lastModifiedBy>
  <dcterms:modified xsi:type="dcterms:W3CDTF">2024-06-27T05:59:40Z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C18F5500060349E39A7EAF6E755FEC19_12</vt:lpwstr>
  </property>
</Properties>
</file>