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811" w:hanging="3213" w:hangingChars="10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营运部发【20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签发人：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刘晓清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</w:t>
      </w:r>
    </w:p>
    <w:p>
      <w:pPr>
        <w:spacing w:line="360" w:lineRule="auto"/>
        <w:ind w:left="3604" w:leftChars="1372" w:hanging="723" w:hanging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10月认购活动方案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一、活动时间</w:t>
      </w:r>
      <w:r>
        <w:rPr>
          <w:rFonts w:hint="eastAsia"/>
          <w:sz w:val="28"/>
          <w:szCs w:val="28"/>
          <w:lang w:val="en-US" w:eastAsia="zh-CN"/>
        </w:rPr>
        <w:t>：2024.10.1--2024.11.30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二、活动门店</w:t>
      </w:r>
      <w:r>
        <w:rPr>
          <w:rFonts w:hint="eastAsia"/>
          <w:sz w:val="28"/>
          <w:szCs w:val="28"/>
          <w:lang w:val="en-US" w:eastAsia="zh-CN"/>
        </w:rPr>
        <w:t>：所有直营门店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三、活动内容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4"/>
        <w:tblW w:w="9756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021"/>
        <w:gridCol w:w="1517"/>
        <w:gridCol w:w="1270"/>
        <w:gridCol w:w="191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认购奖励（盒/元）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活动后毛利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58522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0.5gx12片x2板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1档2元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2档2.5元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两盒省10元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53%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复方熊胆薄荷含片(熊胆舒喉片)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8片x2板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1档2元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2档2.5元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备注：沉香化气片三赠一赠品由厂家票折，活动后综合毛利60%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（2）门店认购任务表：</w:t>
      </w:r>
    </w:p>
    <w:tbl>
      <w:tblPr>
        <w:tblStyle w:val="4"/>
        <w:tblpPr w:leftFromText="180" w:rightFromText="180" w:vertAnchor="text" w:horzAnchor="page" w:tblpX="803" w:tblpY="303"/>
        <w:tblOverlap w:val="never"/>
        <w:tblW w:w="10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61"/>
        <w:gridCol w:w="1155"/>
        <w:gridCol w:w="1079"/>
        <w:gridCol w:w="1039"/>
        <w:gridCol w:w="980"/>
        <w:gridCol w:w="961"/>
        <w:gridCol w:w="1039"/>
        <w:gridCol w:w="81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A类店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B类店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C类店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分中心门店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58522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复方熊胆薄荷含片(熊胆舒喉片)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100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  <w:lang w:val="en-US" w:eastAsia="zh-CN"/>
        </w:rPr>
        <w:t>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1）奖励规则：按门店实际销售核算奖励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2）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日内在番茄表单中填写填认购档次（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"https://ding.cjfx.cn/f/gopqvvai"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https://ding.cjfx.cn/f/gopqvvai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78105</wp:posOffset>
            </wp:positionV>
            <wp:extent cx="1511300" cy="1511300"/>
            <wp:effectExtent l="0" t="0" r="12700" b="12700"/>
            <wp:wrapThrough wrapText="bothSides">
              <wp:wrapPolygon>
                <wp:start x="0" y="0"/>
                <wp:lineTo x="0" y="21237"/>
                <wp:lineTo x="21237" y="21237"/>
                <wp:lineTo x="21237" y="0"/>
                <wp:lineTo x="0" y="0"/>
              </wp:wrapPolygon>
            </wp:wrapThrough>
            <wp:docPr id="1" name="图片 1" descr="C:/Users/TJ/Desktop/qr.png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TJ/Desktop/qr.pngqr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bookmarkStart w:id="0" w:name="_GoBack"/>
      <w:bookmarkEnd w:id="0"/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3）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4）活动结束后，公司根据门店实际销售核算，完成哪一档享受哪一档奖励，多退少补。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10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9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29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zEzYzk2NmNkYTM0NzA5NjBhYmM2ZjlhOGRjZTcifQ=="/>
  </w:docVars>
  <w:rsids>
    <w:rsidRoot w:val="00000000"/>
    <w:rsid w:val="0011735A"/>
    <w:rsid w:val="01FF3BC3"/>
    <w:rsid w:val="021E7FB0"/>
    <w:rsid w:val="0793572B"/>
    <w:rsid w:val="094B154E"/>
    <w:rsid w:val="0967242D"/>
    <w:rsid w:val="0F417446"/>
    <w:rsid w:val="0F6909B1"/>
    <w:rsid w:val="11E9368C"/>
    <w:rsid w:val="13645F7C"/>
    <w:rsid w:val="178E7541"/>
    <w:rsid w:val="18283784"/>
    <w:rsid w:val="19F9293F"/>
    <w:rsid w:val="1A4559DF"/>
    <w:rsid w:val="1A5346A2"/>
    <w:rsid w:val="1A6D2DFF"/>
    <w:rsid w:val="1D28697C"/>
    <w:rsid w:val="208B5A8B"/>
    <w:rsid w:val="22990301"/>
    <w:rsid w:val="244700D1"/>
    <w:rsid w:val="26396DF4"/>
    <w:rsid w:val="26430836"/>
    <w:rsid w:val="272C6959"/>
    <w:rsid w:val="2A241B69"/>
    <w:rsid w:val="2D21467A"/>
    <w:rsid w:val="31222A0B"/>
    <w:rsid w:val="31CA2279"/>
    <w:rsid w:val="34052013"/>
    <w:rsid w:val="3B764328"/>
    <w:rsid w:val="3CA0222E"/>
    <w:rsid w:val="3D0B4FEB"/>
    <w:rsid w:val="3F332814"/>
    <w:rsid w:val="3F405C9E"/>
    <w:rsid w:val="430F7403"/>
    <w:rsid w:val="448D6ACB"/>
    <w:rsid w:val="474C3E89"/>
    <w:rsid w:val="49C5762B"/>
    <w:rsid w:val="4B0D334C"/>
    <w:rsid w:val="4CCE1638"/>
    <w:rsid w:val="4E5B174E"/>
    <w:rsid w:val="50125BC3"/>
    <w:rsid w:val="50AE32FC"/>
    <w:rsid w:val="546B2B5C"/>
    <w:rsid w:val="55FF7233"/>
    <w:rsid w:val="577C6975"/>
    <w:rsid w:val="580E3A55"/>
    <w:rsid w:val="587F5F9B"/>
    <w:rsid w:val="5B2B1907"/>
    <w:rsid w:val="6088556D"/>
    <w:rsid w:val="62DE6E32"/>
    <w:rsid w:val="632C562C"/>
    <w:rsid w:val="653F3F71"/>
    <w:rsid w:val="68720268"/>
    <w:rsid w:val="69001CCB"/>
    <w:rsid w:val="69961435"/>
    <w:rsid w:val="69C41894"/>
    <w:rsid w:val="6B93499A"/>
    <w:rsid w:val="6DAC1F0A"/>
    <w:rsid w:val="6F656188"/>
    <w:rsid w:val="72695938"/>
    <w:rsid w:val="748F32A4"/>
    <w:rsid w:val="76200A04"/>
    <w:rsid w:val="77BF1031"/>
    <w:rsid w:val="7A195E96"/>
    <w:rsid w:val="7A7C79BA"/>
    <w:rsid w:val="7B711D02"/>
    <w:rsid w:val="7BEC52AD"/>
    <w:rsid w:val="7C21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678</Characters>
  <Lines>0</Lines>
  <Paragraphs>0</Paragraphs>
  <TotalTime>236</TotalTime>
  <ScaleCrop>false</ScaleCrop>
  <LinksUpToDate>false</LinksUpToDate>
  <CharactersWithSpaces>848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2024-01-24T08:17:00Z</dcterms:created>
  <dc:creator>TJ</dc:creator>
  <cp:lastModifiedBy>蓟妹厣炊克</cp:lastModifiedBy>
  <cp:lastPrinted>2024-03-06T04:48:00Z</cp:lastPrinted>
  <dcterms:modified xsi:type="dcterms:W3CDTF">2024-10-05T06:43:26Z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DBE9375034E846748CCE6E517111F506_12</vt:lpwstr>
  </property>
</Properties>
</file>