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(2023)124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3" w:firstLineChars="300"/>
        <w:jc w:val="both"/>
        <w:textAlignment w:val="auto"/>
        <w:outlineLvl w:val="9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惠氏活动层条、江中立式展架、肠炎宁灯片及活动插卡的陈列通知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物料及陈列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206"/>
        <w:gridCol w:w="3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物料</w:t>
            </w:r>
          </w:p>
        </w:tc>
        <w:tc>
          <w:tcPr>
            <w:tcW w:w="42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陈列方式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39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惠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氏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241" w:hanging="24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活动宣传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料</w:t>
            </w:r>
          </w:p>
        </w:tc>
        <w:tc>
          <w:tcPr>
            <w:tcW w:w="420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5275" cy="984885"/>
                  <wp:effectExtent l="0" t="0" r="9525" b="5715"/>
                  <wp:docPr id="10" name="图片 10" descr="dd26a9a6d750b77386119bfc8795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d26a9a6d750b77386119bfc87951b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656080" cy="220980"/>
                  <wp:effectExtent l="0" t="0" r="1270" b="7620"/>
                  <wp:docPr id="16" name="图片 16" descr="1f6e666673cdac768708a829a04e1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f6e666673cdac768708a829a04e1d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2张         3张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26030" cy="1281430"/>
                  <wp:effectExtent l="0" t="0" r="7620" b="13970"/>
                  <wp:docPr id="21" name="图片 21" descr="312c680d5187196d276afe5c04c854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12c680d5187196d276afe5c04c854c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78" t="16798" r="5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Otc维矿类货架陈列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1.惠氏id：137250、id：201264、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id：201495、id：154041四个品种纵向陈列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3条层条维矿类货架前三层陈列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2条竖式层条侧板陈列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做换购活动的郊县门店不陈列惠氏的【买1得2】宣传物料，自行书写爆炸卡</w:t>
            </w:r>
          </w:p>
        </w:tc>
        <w:tc>
          <w:tcPr>
            <w:tcW w:w="111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39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1" w:type="dxa"/>
            <w:gridSpan w:val="2"/>
          </w:tcPr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4566285" cy="635635"/>
                  <wp:effectExtent l="0" t="0" r="5715" b="12065"/>
                  <wp:docPr id="25" name="图片 25" descr="c2082dd7ad747e4055dc1bc5192844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2082dd7ad747e4055dc1bc51928447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28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即日起：惠氏4个品种开始预售（具体品种明细见邮件或者如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</w:t>
            </w:r>
            <w:r>
              <w:rPr>
                <w:rFonts w:ascii="宋体" w:hAnsi="宋体" w:eastAsia="宋体" w:cs="宋体"/>
                <w:sz w:val="24"/>
                <w:szCs w:val="24"/>
              </w:rPr>
              <w:t>图），零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售价不同消费者的活动不一样，主要是郊县门店，请按以下活动要求预售，预售统一下账时间：7月14日-7月20日。公司在活动前给门店铺赠品ID账,下账方式操作（与薇诺娜下账方式相似）,多推荐销售！</w:t>
            </w:r>
          </w:p>
        </w:tc>
        <w:tc>
          <w:tcPr>
            <w:tcW w:w="111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7月单品不干胶</w:t>
            </w:r>
          </w:p>
        </w:tc>
        <w:tc>
          <w:tcPr>
            <w:tcW w:w="420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489835" cy="1792605"/>
                  <wp:effectExtent l="0" t="0" r="5715" b="17145"/>
                  <wp:docPr id="22" name="图片 22" descr="0b34ef84727074e82d65e4e99f2e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0b34ef84727074e82d65e4e99f2e52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门店单品插卡全部陈列在对应品种前。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按照插卡的陈列时间过期后取下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3.营运部巡店活动插卡未陈列，10元/品种上缴成长金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统筹报销不干胶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14525" cy="1308735"/>
                  <wp:effectExtent l="0" t="0" r="0" b="0"/>
                  <wp:docPr id="28" name="图片 28" descr="f65613fc1abea64dd9248de5ade49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f65613fc1abea64dd9248de5ade49c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57" r="5984" b="53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开通60家【统筹报销】的门店配发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由于目前报销系统暂停使用，请将收到的【统筹报销】不干胶保存好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报销系统可以使用后直接张贴使用后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肠炎宁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端头灯片陈列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1642110</wp:posOffset>
                      </wp:positionV>
                      <wp:extent cx="1476375" cy="1323975"/>
                      <wp:effectExtent l="6350" t="6350" r="22225" b="2222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61185" y="8428355"/>
                                <a:ext cx="1476375" cy="1323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1pt;margin-top:129.3pt;height:104.25pt;width:116.25pt;z-index:251663360;v-text-anchor:middle;mso-width-relative:page;mso-height-relative:page;" fillcolor="#5B9BD5 [3204]" filled="t" stroked="t" coordsize="21600,21600" o:gfxdata="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OLr6Y&#10;3AAAAAoBAAAPAAAAAAAAAAEAIAAAACIAAABkcnMvZG93bnJldi54bWxQSwECFAAUAAAACACHTuJA&#10;OHMzJ48CAAAkBQAADgAAAAAAAAABACAAAAArAQAAZHJzL2Uyb0RvYy54bWxQSwUGAAAAAAYABgBZ&#10;AQAALA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866900" cy="3208020"/>
                  <wp:effectExtent l="0" t="0" r="0" b="11430"/>
                  <wp:docPr id="23" name="图片 23" descr="015c3e72199b72a2ba0d5780487305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015c3e72199b72a2ba0d5780487305d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631" t="11761" r="14217" b="4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320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门店端头灯片陈列顺序</w:t>
            </w:r>
          </w:p>
          <w:p>
            <w:pPr>
              <w:numPr>
                <w:ilvl w:val="0"/>
                <w:numId w:val="0"/>
              </w:numPr>
              <w:bidi w:val="0"/>
              <w:ind w:firstLine="210" w:firstLineChars="10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门店有1个端头灯片的只陈列【团购季】</w:t>
            </w:r>
          </w:p>
          <w:p>
            <w:pPr>
              <w:numPr>
                <w:ilvl w:val="0"/>
                <w:numId w:val="0"/>
              </w:numPr>
              <w:bidi w:val="0"/>
              <w:ind w:firstLine="210" w:firstLineChars="10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门店有2个端头灯片的陈列【团购季】和【肠炎宁】</w:t>
            </w:r>
          </w:p>
          <w:p>
            <w:pPr>
              <w:numPr>
                <w:ilvl w:val="0"/>
                <w:numId w:val="0"/>
              </w:numPr>
              <w:bidi w:val="0"/>
              <w:ind w:firstLine="210" w:firstLineChars="10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门店有3个端头灯片的陈列【团购季】、【肠炎宁】和【博士伦】</w:t>
            </w:r>
          </w:p>
          <w:p>
            <w:pPr>
              <w:numPr>
                <w:ilvl w:val="0"/>
                <w:numId w:val="0"/>
              </w:numPr>
              <w:bidi w:val="0"/>
              <w:ind w:firstLine="210" w:firstLineChars="100"/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以此类推【团购季】＞【肠炎宁】＞【博士伦】＞【善存】＞【还少丹】</w:t>
            </w:r>
          </w:p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肠炎宁端头灯片首层，首层整层陈列肠炎宁</w:t>
            </w:r>
          </w:p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剩余四层陈列品种参考【沉香化气片、健胃消食片、大山楂丸、七珠健胃茶、健脾八珍糕、乳酸菌素片等消化类品种】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江中立式展架陈列</w:t>
            </w:r>
          </w:p>
        </w:tc>
        <w:tc>
          <w:tcPr>
            <w:tcW w:w="42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095375" cy="2841625"/>
                  <wp:effectExtent l="0" t="0" r="0" b="0"/>
                  <wp:docPr id="29" name="图片 29" descr="e1a1ddeed0c199fdf9a6496cebf6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1a1ddeed0c199fdf9a6496cebf6d9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8858" t="15566" r="47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84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47445" cy="2828925"/>
                  <wp:effectExtent l="0" t="0" r="14605" b="9525"/>
                  <wp:docPr id="30" name="图片 30" descr="a2300cca5ca0482af519b6ab754b3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2300cca5ca0482af519b6ab754b35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8481" t="16269" r="26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立架正面       反面</w:t>
            </w:r>
          </w:p>
        </w:tc>
        <w:tc>
          <w:tcPr>
            <w:tcW w:w="321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60家门店（详见下表）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1.整组立式展架（正反面）陈列江中系列品种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2.主要陈列品种【乳酸菌素片（成人/儿童）、多维元素片、健胃消食片】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3.陈列位置在</w:t>
            </w:r>
            <w:r>
              <w:rPr>
                <w:rFonts w:hint="eastAsia"/>
                <w:color w:val="FF0000"/>
                <w:lang w:val="en-US" w:eastAsia="zh-CN"/>
              </w:rPr>
              <w:t>进门端架/收银台周围端架</w:t>
            </w:r>
            <w:r>
              <w:rPr>
                <w:rFonts w:hint="eastAsia"/>
                <w:lang w:val="en-US" w:eastAsia="zh-CN"/>
              </w:rPr>
              <w:t>旁边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numId w:val="0"/>
        </w:numPr>
        <w:tabs>
          <w:tab w:val="left" w:pos="907"/>
        </w:tabs>
        <w:ind w:leftChars="0"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江中立式展架60家门店陈列明细</w:t>
      </w:r>
    </w:p>
    <w:tbl>
      <w:tblPr>
        <w:tblW w:w="87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18"/>
        <w:gridCol w:w="1507"/>
        <w:gridCol w:w="588"/>
        <w:gridCol w:w="818"/>
        <w:gridCol w:w="1323"/>
        <w:gridCol w:w="588"/>
        <w:gridCol w:w="818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江中立式展架60家门店陈列明细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水杉街药店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118074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泰和二街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逸都路店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杉板桥南一路店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柳翠路药店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银河北街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清江东路药店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元华二巷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通盈街药店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紫薇东路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111219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花照壁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翔凤路药店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马超东路店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万科路药店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金带街药店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贝森北路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羊子山西路药店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五福桥东路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107658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万和北路药店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华康路药店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大源北街药店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榕声路店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三强西路药店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交大三药店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郫县东大街药店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枣子巷药店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崔家店路药店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金马河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光华村街药店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银沙路药店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邛崃中心药店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静沙路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永康东路药店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中和大道药店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华泰路药店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汇融名城店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五津西路药店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新下街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观音桥街药店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光华药店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蜀汉路药店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金丝街药店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新园大道药店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浆洗街药店</w:t>
            </w:r>
          </w:p>
        </w:tc>
      </w:tr>
    </w:tbl>
    <w:p>
      <w:pPr>
        <w:numPr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二、过期物料（过期宣传请门店取下）</w:t>
      </w:r>
    </w:p>
    <w:p>
      <w:pPr>
        <w:numPr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门店过期物料未按通知取下，上缴成长金30元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1.备考专区陈列结束，侧板及A4宣传、活动插卡全部撤掉，货品恢复原陈列</w:t>
      </w:r>
    </w:p>
    <w:p>
      <w:pPr>
        <w:numPr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2.肠虫清pop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994410</wp:posOffset>
                </wp:positionV>
                <wp:extent cx="3786505" cy="1571625"/>
                <wp:effectExtent l="5715" t="13335" r="17780" b="1524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6505" cy="15716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78.3pt;height:123.75pt;width:298.15pt;z-index:251662336;mso-width-relative:page;mso-height-relative:page;" filled="f" stroked="t" coordsize="21600,21600" o:gfxdata="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K/6DZAAAACQEAAA8AAAAAAAAAAQAgAAAAIgAAAGRycy9kb3ducmV2LnhtbFBL&#10;AQIUABQAAAAIAIdO4kBM4s/+9QEAAMQDAAAOAAAAAAAAAAEAIAAAACgBAABkcnMvZTJvRG9jLnht&#10;bFBLBQYAAAAABgAGAFkBAACP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118110</wp:posOffset>
                </wp:positionV>
                <wp:extent cx="3494405" cy="2882265"/>
                <wp:effectExtent l="8890" t="10795" r="20955" b="2159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905" y="5053330"/>
                          <a:ext cx="3494405" cy="28822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9.3pt;height:226.95pt;width:275.15pt;z-index:251661312;mso-width-relative:page;mso-height-relative:page;" filled="f" stroked="t" coordsize="21600,21600" o:gfxdata="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v3FDcAAAACgEAAA8AAAAAAAAAAQAgAAAAIgAAAGRycy9kb3ducmV2&#10;LnhtbFBLAQIUABQAAAAIAIdO4kB5f0sJ+AEAAMUDAAAOAAAAAAAAAAEAIAAAACsBAABkcnMvZTJv&#10;RG9jLnhtbFBLBQYAAAAABgAGAFkBAACV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sz w:val="32"/>
        </w:rPr>
        <w:drawing>
          <wp:inline distT="0" distB="0" distL="114300" distR="114300">
            <wp:extent cx="1315085" cy="3255645"/>
            <wp:effectExtent l="0" t="0" r="18415" b="1905"/>
            <wp:docPr id="26" name="图片 26" descr="5a7bbb984c05b44c5c0e2f6f915c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a7bbb984c05b44c5c0e2f6f915c2127"/>
                    <pic:cNvPicPr>
                      <a:picLocks noChangeAspect="1"/>
                    </pic:cNvPicPr>
                  </pic:nvPicPr>
                  <pic:blipFill>
                    <a:blip r:embed="rId14"/>
                    <a:srcRect l="21942" t="11718" r="3925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default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13205" cy="2051050"/>
            <wp:effectExtent l="0" t="0" r="10795" b="6350"/>
            <wp:docPr id="31" name="图片 31" descr="CZX_G@RJE8L_%QI7JF}IM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ZX_G@RJE8L_%QI7JF}IMRV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7月7日下午18点前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月7日下午22点前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7月7日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2023年7月5日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15"/>
          <w:szCs w:val="15"/>
          <w:u w:val="single"/>
          <w:lang w:eastAsia="zh-CN"/>
        </w:rPr>
        <w:t>惠氏活动层条、江中立式展架、肠炎宁灯片及活动插卡</w:t>
      </w:r>
      <w:r>
        <w:rPr>
          <w:rFonts w:hint="eastAsia" w:ascii="仿宋" w:hAnsi="仿宋" w:eastAsia="仿宋" w:cs="仿宋"/>
          <w:sz w:val="15"/>
          <w:szCs w:val="15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AE446"/>
    <w:multiLevelType w:val="singleLevel"/>
    <w:tmpl w:val="B3AAE44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28D43C"/>
    <w:multiLevelType w:val="singleLevel"/>
    <w:tmpl w:val="0528D4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33998C"/>
    <w:multiLevelType w:val="singleLevel"/>
    <w:tmpl w:val="5A339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282821"/>
    <w:rsid w:val="0264611C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06201D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2C3F2C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AF11BFB"/>
    <w:rsid w:val="1B597A3E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164D5A"/>
    <w:rsid w:val="202B1D78"/>
    <w:rsid w:val="207348DF"/>
    <w:rsid w:val="208204BD"/>
    <w:rsid w:val="20AE3D22"/>
    <w:rsid w:val="2108118A"/>
    <w:rsid w:val="212D60B2"/>
    <w:rsid w:val="21627525"/>
    <w:rsid w:val="218605C2"/>
    <w:rsid w:val="21DF0F6D"/>
    <w:rsid w:val="21ED53E8"/>
    <w:rsid w:val="221C7DFE"/>
    <w:rsid w:val="22B163FA"/>
    <w:rsid w:val="23A23C61"/>
    <w:rsid w:val="23B307F3"/>
    <w:rsid w:val="24355F92"/>
    <w:rsid w:val="24D7063A"/>
    <w:rsid w:val="2557379D"/>
    <w:rsid w:val="25EE7A3E"/>
    <w:rsid w:val="26022145"/>
    <w:rsid w:val="26655BD1"/>
    <w:rsid w:val="26A3327D"/>
    <w:rsid w:val="26BE2A0F"/>
    <w:rsid w:val="26DE5BEE"/>
    <w:rsid w:val="27082E24"/>
    <w:rsid w:val="27A55B1F"/>
    <w:rsid w:val="27F61805"/>
    <w:rsid w:val="28BA5973"/>
    <w:rsid w:val="28D22307"/>
    <w:rsid w:val="28E71F8D"/>
    <w:rsid w:val="28F963DB"/>
    <w:rsid w:val="29181F32"/>
    <w:rsid w:val="2A3277FA"/>
    <w:rsid w:val="2A731283"/>
    <w:rsid w:val="2ADE395B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0B632CC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75C4D71"/>
    <w:rsid w:val="37BB03CC"/>
    <w:rsid w:val="3A1F71A1"/>
    <w:rsid w:val="3B233987"/>
    <w:rsid w:val="3B9835AA"/>
    <w:rsid w:val="3BC72BE1"/>
    <w:rsid w:val="3BD836CD"/>
    <w:rsid w:val="3BEF10D7"/>
    <w:rsid w:val="3C0F39ED"/>
    <w:rsid w:val="3CB670F2"/>
    <w:rsid w:val="3E814CD2"/>
    <w:rsid w:val="3EE34E06"/>
    <w:rsid w:val="41244CC4"/>
    <w:rsid w:val="41A21606"/>
    <w:rsid w:val="4221686A"/>
    <w:rsid w:val="435C3421"/>
    <w:rsid w:val="436B3C3C"/>
    <w:rsid w:val="43857808"/>
    <w:rsid w:val="43DB2EDB"/>
    <w:rsid w:val="44CF0221"/>
    <w:rsid w:val="450819C2"/>
    <w:rsid w:val="45A04EB4"/>
    <w:rsid w:val="45BA2893"/>
    <w:rsid w:val="45D32D92"/>
    <w:rsid w:val="45EA3132"/>
    <w:rsid w:val="46E011C9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4E906E25"/>
    <w:rsid w:val="500D4EB3"/>
    <w:rsid w:val="50917A3E"/>
    <w:rsid w:val="50CF1EB0"/>
    <w:rsid w:val="512A232D"/>
    <w:rsid w:val="51504E3F"/>
    <w:rsid w:val="52B15964"/>
    <w:rsid w:val="55357BBF"/>
    <w:rsid w:val="5596255D"/>
    <w:rsid w:val="561279A2"/>
    <w:rsid w:val="56467571"/>
    <w:rsid w:val="576E15CE"/>
    <w:rsid w:val="577A20B6"/>
    <w:rsid w:val="57E5630B"/>
    <w:rsid w:val="58165DDE"/>
    <w:rsid w:val="59E569DF"/>
    <w:rsid w:val="59F05B1D"/>
    <w:rsid w:val="5A30732D"/>
    <w:rsid w:val="5C672AD1"/>
    <w:rsid w:val="5C9F65D4"/>
    <w:rsid w:val="5D4A7AD0"/>
    <w:rsid w:val="5DAA225A"/>
    <w:rsid w:val="5E8D5BA0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515384"/>
    <w:rsid w:val="628267E6"/>
    <w:rsid w:val="62F16CE2"/>
    <w:rsid w:val="630351D5"/>
    <w:rsid w:val="641F7430"/>
    <w:rsid w:val="64412D1C"/>
    <w:rsid w:val="64CC0D15"/>
    <w:rsid w:val="655E07B2"/>
    <w:rsid w:val="66165A52"/>
    <w:rsid w:val="67491F2A"/>
    <w:rsid w:val="68170655"/>
    <w:rsid w:val="688313C9"/>
    <w:rsid w:val="69C860A0"/>
    <w:rsid w:val="6A7F4F07"/>
    <w:rsid w:val="6A9C4731"/>
    <w:rsid w:val="6B4D1ECA"/>
    <w:rsid w:val="6BE05964"/>
    <w:rsid w:val="6C441154"/>
    <w:rsid w:val="6C59368E"/>
    <w:rsid w:val="6CC725CB"/>
    <w:rsid w:val="6CF46FD7"/>
    <w:rsid w:val="6D6D414E"/>
    <w:rsid w:val="6DBC124E"/>
    <w:rsid w:val="6DD847D9"/>
    <w:rsid w:val="6FD73C85"/>
    <w:rsid w:val="6FE03E30"/>
    <w:rsid w:val="7006519B"/>
    <w:rsid w:val="704859C3"/>
    <w:rsid w:val="708F0EA9"/>
    <w:rsid w:val="70985C58"/>
    <w:rsid w:val="711D60E7"/>
    <w:rsid w:val="71266285"/>
    <w:rsid w:val="721B76BF"/>
    <w:rsid w:val="72610E00"/>
    <w:rsid w:val="72713F65"/>
    <w:rsid w:val="745809BF"/>
    <w:rsid w:val="74704A5C"/>
    <w:rsid w:val="7471255D"/>
    <w:rsid w:val="74F91AB8"/>
    <w:rsid w:val="762364FE"/>
    <w:rsid w:val="775322F3"/>
    <w:rsid w:val="783A2E65"/>
    <w:rsid w:val="79842348"/>
    <w:rsid w:val="79B4546B"/>
    <w:rsid w:val="7A5D2188"/>
    <w:rsid w:val="7A724DF3"/>
    <w:rsid w:val="7B1373F6"/>
    <w:rsid w:val="7B3E3FEE"/>
    <w:rsid w:val="7B7B6F0E"/>
    <w:rsid w:val="7B8C4302"/>
    <w:rsid w:val="7B9A7F56"/>
    <w:rsid w:val="7BB81B2D"/>
    <w:rsid w:val="7C674DA9"/>
    <w:rsid w:val="7CCB48CB"/>
    <w:rsid w:val="7D00161C"/>
    <w:rsid w:val="7D596550"/>
    <w:rsid w:val="7DD2167B"/>
    <w:rsid w:val="7DD248A3"/>
    <w:rsid w:val="7DF51E6B"/>
    <w:rsid w:val="7E8A583A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5EAC"/>
      <w:u w:val="none"/>
    </w:rPr>
  </w:style>
  <w:style w:type="character" w:styleId="11">
    <w:name w:val="Hyperlink"/>
    <w:basedOn w:val="8"/>
    <w:qFormat/>
    <w:uiPriority w:val="0"/>
    <w:rPr>
      <w:color w:val="005EAC"/>
      <w:u w:val="non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error"/>
    <w:basedOn w:val="8"/>
    <w:qFormat/>
    <w:uiPriority w:val="0"/>
    <w:rPr>
      <w:color w:val="FF0000"/>
    </w:rPr>
  </w:style>
  <w:style w:type="character" w:customStyle="1" w:styleId="15">
    <w:name w:val="left"/>
    <w:basedOn w:val="8"/>
    <w:qFormat/>
    <w:uiPriority w:val="0"/>
    <w:rPr>
      <w:b/>
      <w:bCs/>
      <w:color w:val="666666"/>
    </w:rPr>
  </w:style>
  <w:style w:type="character" w:customStyle="1" w:styleId="16">
    <w:name w:val="success"/>
    <w:basedOn w:val="8"/>
    <w:qFormat/>
    <w:uiPriority w:val="0"/>
    <w:rPr>
      <w:color w:val="999999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889</Characters>
  <Lines>0</Lines>
  <Paragraphs>0</Paragraphs>
  <TotalTime>8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2023-07-05T09:13:41Z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B04B008065EC4531880B5F4DCC9B78C8</vt:lpwstr>
  </property>
</Properties>
</file>