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24" w:afterLines="200" w:line="60" w:lineRule="auto"/>
        <w:jc w:val="both"/>
        <w:rPr>
          <w:rFonts w:hint="eastAsia" w:ascii="宋体" w:hAnsi="宋体" w:eastAsia="仿宋_GB2312" w:cs="宋体"/>
          <w:b/>
          <w:bCs/>
          <w:sz w:val="36"/>
          <w:szCs w:val="36"/>
          <w:lang w:val="en-US" w:eastAsia="zh-CN"/>
        </w:rPr>
      </w:pPr>
      <w:r>
        <w:rPr>
          <w:rFonts w:hint="eastAsia" w:ascii="仿宋_GB2312" w:hAnsi="仿宋_GB2312" w:eastAsia="仿宋_GB2312" w:cs="仿宋_GB2312"/>
          <w:b/>
          <w:bCs/>
          <w:sz w:val="32"/>
          <w:szCs w:val="32"/>
          <w:lang w:eastAsia="zh-CN"/>
        </w:rPr>
        <w:t>质管部</w:t>
      </w:r>
      <w:r>
        <w:rPr>
          <w:rFonts w:hint="eastAsia" w:ascii="仿宋_GB2312" w:hAnsi="仿宋_GB2312" w:eastAsia="仿宋_GB2312" w:cs="仿宋_GB2312"/>
          <w:b/>
          <w:bCs/>
          <w:sz w:val="32"/>
          <w:szCs w:val="32"/>
        </w:rPr>
        <w:t>发〔20</w:t>
      </w:r>
      <w:r>
        <w:rPr>
          <w:rFonts w:hint="eastAsia" w:ascii="仿宋_GB2312" w:hAnsi="仿宋_GB2312" w:eastAsia="仿宋_GB2312" w:cs="仿宋_GB2312"/>
          <w:b/>
          <w:bCs/>
          <w:sz w:val="32"/>
          <w:szCs w:val="32"/>
          <w:lang w:val="en-US" w:eastAsia="zh-CN"/>
        </w:rPr>
        <w:t>23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30</w:t>
      </w:r>
      <w:r>
        <w:rPr>
          <w:rFonts w:hint="eastAsia" w:ascii="仿宋_GB2312" w:hAnsi="仿宋_GB2312" w:eastAsia="仿宋_GB2312" w:cs="仿宋_GB2312"/>
          <w:b/>
          <w:bCs/>
          <w:sz w:val="32"/>
          <w:szCs w:val="32"/>
        </w:rPr>
        <w:t xml:space="preserve">号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签发人</w:t>
      </w:r>
      <w:r>
        <w:rPr>
          <w:rFonts w:hint="eastAsia" w:ascii="仿宋_GB2312" w:hAnsi="仿宋_GB2312" w:eastAsia="仿宋_GB2312" w:cs="仿宋_GB2312"/>
          <w:b/>
          <w:bCs/>
          <w:sz w:val="32"/>
          <w:szCs w:val="32"/>
          <w:lang w:eastAsia="zh-CN"/>
        </w:rPr>
        <w:t>：赖习敏</w:t>
      </w:r>
    </w:p>
    <w:p>
      <w:pPr>
        <w:keepNext w:val="0"/>
        <w:keepLines w:val="0"/>
        <w:pageBreakBefore w:val="0"/>
        <w:widowControl w:val="0"/>
        <w:kinsoku/>
        <w:wordWrap/>
        <w:overflowPunct/>
        <w:topLinePunct w:val="0"/>
        <w:autoSpaceDE/>
        <w:autoSpaceDN/>
        <w:bidi w:val="0"/>
        <w:adjustRightInd/>
        <w:snapToGrid/>
        <w:spacing w:line="360" w:lineRule="auto"/>
        <w:ind w:firstLine="1084" w:firstLineChars="300"/>
        <w:jc w:val="both"/>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w:t>
      </w:r>
      <w:r>
        <w:rPr>
          <w:rFonts w:hint="eastAsia" w:ascii="宋体" w:hAnsi="宋体" w:cs="宋体"/>
          <w:b/>
          <w:bCs/>
          <w:sz w:val="36"/>
          <w:szCs w:val="36"/>
          <w:lang w:val="en-US" w:eastAsia="zh-CN"/>
        </w:rPr>
        <w:t>清理在营“含兴奋剂”药品包装标识</w:t>
      </w:r>
      <w:r>
        <w:rPr>
          <w:rFonts w:hint="eastAsia" w:ascii="宋体" w:hAnsi="宋体" w:eastAsia="宋体" w:cs="宋体"/>
          <w:b/>
          <w:bCs/>
          <w:sz w:val="36"/>
          <w:szCs w:val="36"/>
          <w:lang w:val="en-US" w:eastAsia="zh-CN"/>
        </w:rPr>
        <w:t>的通知</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textAlignment w:val="auto"/>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8"/>
          <w:szCs w:val="28"/>
          <w:lang w:val="en-US" w:eastAsia="zh-CN"/>
        </w:rPr>
      </w:pPr>
      <w:r>
        <w:rPr>
          <w:rFonts w:hint="eastAsia"/>
          <w:strike w:val="0"/>
          <w:dstrike w:val="0"/>
          <w:color w:val="000000" w:themeColor="text1"/>
          <w:sz w:val="32"/>
          <w:szCs w:val="32"/>
          <w:lang w:eastAsia="zh-CN"/>
          <w14:textFill>
            <w14:solidFill>
              <w14:schemeClr w14:val="tx1"/>
            </w14:solidFill>
          </w14:textFill>
        </w:rPr>
        <w:t>各门店</w:t>
      </w:r>
      <w:r>
        <w:rPr>
          <w:rFonts w:hint="eastAsia" w:ascii="宋体" w:hAnsi="宋体" w:cs="宋体"/>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因成都大运会举办在即，依据国家药品监督管理局、成都市市场监督管理局及各区市场监管部门的要求，为做好兴奋剂药品销售管理，杜绝出现兴奋剂药品安全事故，扰乱体育竞赛秩序，现就门店兴奋剂药品销售管理要求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一、各门店在2023年6月27日前完成清理含有附件一《2023年太极大药房兴奋剂药品经营目录》所列药品外包装未标注“运动员慎用”字样的药品，清理后集中放置于专柜。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   二、清理品种在2023年7月1日—8月15日（大运会期间）下架，禁止在线上和线下销售。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   三、加强门店兴奋剂药品销售管理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100"/>
        <w:textAlignment w:val="auto"/>
        <w:rPr>
          <w:rFonts w:hint="eastAsia"/>
          <w:strike w:val="0"/>
          <w:dstrike w:val="0"/>
          <w:color w:val="000000" w:themeColor="text1"/>
          <w:sz w:val="28"/>
          <w:szCs w:val="28"/>
          <w:lang w:val="en-US" w:eastAsia="zh-CN"/>
          <w14:textFill>
            <w14:solidFill>
              <w14:schemeClr w14:val="tx1"/>
            </w14:solidFill>
          </w14:textFill>
        </w:rPr>
      </w:pPr>
      <w:r>
        <w:rPr>
          <w:rFonts w:hint="eastAsia"/>
          <w:strike w:val="0"/>
          <w:dstrike w:val="0"/>
          <w:color w:val="000000" w:themeColor="text1"/>
          <w:sz w:val="32"/>
          <w:szCs w:val="32"/>
          <w:lang w:val="en-US" w:eastAsia="zh-CN"/>
          <w14:textFill>
            <w14:solidFill>
              <w14:schemeClr w14:val="tx1"/>
            </w14:solidFill>
          </w14:textFill>
        </w:rPr>
        <w:t xml:space="preserve"> </w:t>
      </w:r>
      <w:r>
        <w:rPr>
          <w:rFonts w:hint="eastAsia"/>
          <w:strike w:val="0"/>
          <w:dstrike w:val="0"/>
          <w:color w:val="000000" w:themeColor="text1"/>
          <w:sz w:val="28"/>
          <w:szCs w:val="28"/>
          <w:lang w:val="en-US" w:eastAsia="zh-CN"/>
          <w14:textFill>
            <w14:solidFill>
              <w14:schemeClr w14:val="tx1"/>
            </w14:solidFill>
          </w14:textFill>
        </w:rPr>
        <w:t>全店人员熟知含兴奋剂药品销售原则，做到“店堂有海报、收银台有醒目用药提醒、柜台展示、销售时主动告知、小票有用药提示”严格履行主动告知义务。</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strike w:val="0"/>
          <w:dstrike w:val="0"/>
          <w:color w:val="000000" w:themeColor="text1"/>
          <w:sz w:val="28"/>
          <w:szCs w:val="28"/>
          <w:lang w:val="en-US" w:eastAsia="zh-CN"/>
          <w14:textFill>
            <w14:solidFill>
              <w14:schemeClr w14:val="tx1"/>
            </w14:solidFill>
          </w14:textFill>
        </w:rPr>
      </w:pPr>
      <w:r>
        <w:drawing>
          <wp:inline distT="0" distB="0" distL="114300" distR="114300">
            <wp:extent cx="6334760" cy="1905000"/>
            <wp:effectExtent l="0" t="0" r="889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6334760" cy="1905000"/>
                    </a:xfrm>
                    <a:prstGeom prst="rect">
                      <a:avLst/>
                    </a:prstGeom>
                    <a:noFill/>
                    <a:ln>
                      <a:noFill/>
                    </a:ln>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100"/>
        <w:textAlignment w:val="auto"/>
        <w:rPr>
          <w:rFonts w:hint="eastAsia"/>
          <w:strike w:val="0"/>
          <w:dstrike w:val="0"/>
          <w:color w:val="000000" w:themeColor="text1"/>
          <w:sz w:val="28"/>
          <w:szCs w:val="28"/>
          <w:lang w:val="en-US" w:eastAsia="zh-CN"/>
          <w14:textFill>
            <w14:solidFill>
              <w14:schemeClr w14:val="tx1"/>
            </w14:solidFill>
          </w14:textFill>
        </w:rPr>
      </w:pPr>
      <w:r>
        <w:rPr>
          <w:rFonts w:hint="eastAsia"/>
          <w:strike w:val="0"/>
          <w:dstrike w:val="0"/>
          <w:color w:val="000000" w:themeColor="text1"/>
          <w:sz w:val="28"/>
          <w:szCs w:val="28"/>
          <w:lang w:val="en-US" w:eastAsia="zh-CN"/>
          <w14:textFill>
            <w14:solidFill>
              <w14:schemeClr w14:val="tx1"/>
            </w14:solidFill>
          </w14:textFill>
        </w:rPr>
        <w:t>做好“含兴奋剂药品”销售管理培训记录。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100"/>
        <w:textAlignment w:val="auto"/>
        <w:rPr>
          <w:rFonts w:hint="eastAsia"/>
          <w:strike w:val="0"/>
          <w:dstrike w:val="0"/>
          <w:color w:val="000000" w:themeColor="text1"/>
          <w:sz w:val="28"/>
          <w:szCs w:val="28"/>
          <w:lang w:val="en-US" w:eastAsia="zh-CN"/>
          <w14:textFill>
            <w14:solidFill>
              <w14:schemeClr w14:val="tx1"/>
            </w14:solidFill>
          </w14:textFill>
        </w:rPr>
      </w:pPr>
      <w:r>
        <w:rPr>
          <w:rFonts w:hint="eastAsia"/>
          <w:strike w:val="0"/>
          <w:dstrike w:val="0"/>
          <w:color w:val="000000" w:themeColor="text1"/>
          <w:sz w:val="28"/>
          <w:szCs w:val="28"/>
          <w:lang w:val="en-US" w:eastAsia="zh-CN"/>
          <w14:textFill>
            <w14:solidFill>
              <w14:schemeClr w14:val="tx1"/>
            </w14:solidFill>
          </w14:textFill>
        </w:rPr>
        <w:t>处方药必须凭医师处方并通过执业药师审核后销售（含兴奋剂药品、含特殊药品复方制剂等）。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100"/>
        <w:textAlignment w:val="auto"/>
        <w:rPr>
          <w:rFonts w:hint="eastAsia"/>
          <w:strike w:val="0"/>
          <w:dstrike w:val="0"/>
          <w:color w:val="000000" w:themeColor="text1"/>
          <w:sz w:val="28"/>
          <w:szCs w:val="28"/>
          <w:lang w:val="en-US" w:eastAsia="zh-CN"/>
          <w14:textFill>
            <w14:solidFill>
              <w14:schemeClr w14:val="tx1"/>
            </w14:solidFill>
          </w14:textFill>
        </w:rPr>
      </w:pPr>
      <w:r>
        <w:rPr>
          <w:rFonts w:hint="eastAsia"/>
          <w:strike w:val="0"/>
          <w:dstrike w:val="0"/>
          <w:color w:val="000000" w:themeColor="text1"/>
          <w:sz w:val="28"/>
          <w:szCs w:val="28"/>
          <w:lang w:val="en-US" w:eastAsia="zh-CN"/>
          <w14:textFill>
            <w14:solidFill>
              <w14:schemeClr w14:val="tx1"/>
            </w14:solidFill>
          </w14:textFill>
        </w:rPr>
        <w:t>销售药品（含其他商品）时，应附收银小票给消费者。</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100"/>
        <w:textAlignment w:val="auto"/>
        <w:rPr>
          <w:rFonts w:hint="eastAsia" w:ascii="宋体" w:hAnsi="宋体" w:cs="宋体"/>
          <w:b w:val="0"/>
          <w:bCs w:val="0"/>
          <w:sz w:val="28"/>
          <w:szCs w:val="28"/>
          <w:lang w:val="en-US" w:eastAsia="zh-CN"/>
        </w:rPr>
      </w:pPr>
      <w:r>
        <w:rPr>
          <w:rFonts w:hint="eastAsia"/>
          <w:strike w:val="0"/>
          <w:dstrike w:val="0"/>
          <w:color w:val="000000" w:themeColor="text1"/>
          <w:sz w:val="28"/>
          <w:szCs w:val="28"/>
          <w:lang w:val="en-US" w:eastAsia="zh-CN"/>
          <w14:textFill>
            <w14:solidFill>
              <w14:schemeClr w14:val="tx1"/>
            </w14:solidFill>
          </w14:textFill>
        </w:rPr>
        <w:t>药品非质量问题一经售出不得退换。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备注：近期监管部门将加大对零售药店兴奋剂药品销售管理的抽查监管力度，请各门店务必引起重视！门店在接受监管部门检查时，请一定核实身份并第一时间告知质管部。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                                              </w:t>
      </w:r>
      <w:r>
        <w:rPr>
          <w:rFonts w:hint="eastAsia" w:ascii="宋体" w:hAnsi="宋体" w:cs="宋体"/>
          <w:b w:val="0"/>
          <w:bCs w:val="0"/>
          <w:sz w:val="32"/>
          <w:szCs w:val="32"/>
          <w:lang w:val="en-US" w:eastAsia="zh-CN"/>
        </w:rPr>
        <w:t>质管部</w:t>
      </w:r>
    </w:p>
    <w:p>
      <w:pPr>
        <w:ind w:firstLine="560" w:firstLineChars="200"/>
        <w:jc w:val="left"/>
        <w:rPr>
          <w:rFonts w:hint="eastAsia" w:ascii="宋体" w:hAnsi="宋体" w:cs="宋体"/>
          <w:b w:val="0"/>
          <w:bCs w:val="0"/>
          <w:sz w:val="32"/>
          <w:szCs w:val="32"/>
          <w:lang w:val="en-US" w:eastAsia="zh-CN"/>
        </w:rPr>
      </w:pPr>
      <w:r>
        <w:rPr>
          <w:rFonts w:hint="eastAsia" w:ascii="宋体" w:hAnsi="宋体" w:eastAsia="宋体" w:cs="宋体"/>
          <w:b w:val="0"/>
          <w:bCs w:val="0"/>
          <w:sz w:val="28"/>
          <w:szCs w:val="28"/>
          <w:lang w:val="en-US" w:eastAsia="zh-CN"/>
        </w:rPr>
        <w:t xml:space="preserve">                                   </w:t>
      </w:r>
      <w:r>
        <w:rPr>
          <w:rFonts w:hint="eastAsia" w:ascii="宋体" w:hAnsi="宋体" w:cs="宋体"/>
          <w:b w:val="0"/>
          <w:bCs w:val="0"/>
          <w:sz w:val="28"/>
          <w:szCs w:val="28"/>
          <w:lang w:val="en-US" w:eastAsia="zh-CN"/>
        </w:rPr>
        <w:t xml:space="preserve">      </w:t>
      </w:r>
      <w:r>
        <w:rPr>
          <w:rFonts w:hint="eastAsia" w:ascii="宋体" w:hAnsi="宋体" w:cs="宋体"/>
          <w:b w:val="0"/>
          <w:bCs w:val="0"/>
          <w:sz w:val="32"/>
          <w:szCs w:val="32"/>
          <w:lang w:val="en-US" w:eastAsia="zh-CN"/>
        </w:rPr>
        <w:t xml:space="preserve"> 2023年6月20日</w:t>
      </w:r>
    </w:p>
    <w:p>
      <w:pPr>
        <w:spacing w:line="580" w:lineRule="exact"/>
        <w:rPr>
          <w:rFonts w:hint="eastAsia" w:ascii="黑体" w:hAnsi="Times New Roman" w:eastAsia="黑体" w:cs="Times New Roman"/>
          <w:sz w:val="32"/>
          <w:szCs w:val="32"/>
          <w:u w:val="single"/>
          <w:lang w:eastAsia="zh-CN"/>
        </w:rPr>
      </w:pPr>
      <w:r>
        <w:rPr>
          <w:rFonts w:hint="eastAsia" w:ascii="宋体" w:hAnsi="宋体" w:eastAsia="宋体" w:cs="宋体"/>
          <w:sz w:val="32"/>
          <w:szCs w:val="32"/>
          <w:u w:val="single"/>
        </w:rPr>
        <w:t>主题词</w:t>
      </w:r>
      <w:r>
        <w:rPr>
          <w:rFonts w:hint="eastAsia" w:ascii="宋体" w:hAnsi="宋体" w:eastAsia="宋体" w:cs="宋体"/>
          <w:sz w:val="32"/>
          <w:szCs w:val="32"/>
          <w:u w:val="single"/>
          <w:lang w:eastAsia="zh-CN"/>
        </w:rPr>
        <w:t>：</w:t>
      </w:r>
      <w:r>
        <w:rPr>
          <w:rFonts w:hint="eastAsia" w:ascii="宋体" w:hAnsi="宋体" w:cs="宋体"/>
          <w:sz w:val="32"/>
          <w:szCs w:val="32"/>
          <w:u w:val="single"/>
          <w:lang w:val="en-US" w:eastAsia="zh-CN"/>
        </w:rPr>
        <w:t xml:space="preserve">清理在营“兴奋剂药品”包装标识  </w:t>
      </w: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的</w:t>
      </w:r>
      <w:r>
        <w:rPr>
          <w:rFonts w:hint="eastAsia" w:ascii="宋体" w:hAnsi="宋体" w:eastAsia="宋体" w:cs="宋体"/>
          <w:sz w:val="32"/>
          <w:szCs w:val="32"/>
          <w:u w:val="single"/>
          <w:lang w:val="en-US" w:eastAsia="zh-CN"/>
        </w:rPr>
        <w:t xml:space="preserve">通知  </w:t>
      </w:r>
      <w:r>
        <w:rPr>
          <w:rFonts w:hint="eastAsia" w:ascii="黑体" w:hAnsi="Times New Roman" w:eastAsia="黑体" w:cs="Times New Roman"/>
          <w:sz w:val="32"/>
          <w:szCs w:val="32"/>
          <w:u w:val="single"/>
          <w:lang w:eastAsia="zh-CN"/>
        </w:rPr>
        <w:t xml:space="preserve"> </w:t>
      </w:r>
    </w:p>
    <w:p>
      <w:pPr>
        <w:spacing w:line="580" w:lineRule="exact"/>
        <w:rPr>
          <w:rFonts w:hint="eastAsia" w:ascii="黑体" w:eastAsia="黑体"/>
          <w:sz w:val="30"/>
          <w:szCs w:val="30"/>
          <w:u w:val="single"/>
        </w:rPr>
      </w:pPr>
      <w:r>
        <w:rPr>
          <w:rFonts w:hint="eastAsia" w:ascii="宋体" w:hAnsi="宋体" w:eastAsia="宋体" w:cs="宋体"/>
          <w:sz w:val="32"/>
          <w:szCs w:val="32"/>
          <w:u w:val="single"/>
        </w:rPr>
        <w:t xml:space="preserve">四川太极大药房连锁有限公司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20</w:t>
      </w:r>
      <w:r>
        <w:rPr>
          <w:rFonts w:hint="eastAsia" w:ascii="宋体" w:hAnsi="宋体" w:eastAsia="宋体" w:cs="宋体"/>
          <w:sz w:val="32"/>
          <w:szCs w:val="32"/>
          <w:u w:val="single"/>
          <w:lang w:val="en-US" w:eastAsia="zh-CN"/>
        </w:rPr>
        <w:t>23</w:t>
      </w:r>
      <w:r>
        <w:rPr>
          <w:rFonts w:hint="eastAsia" w:ascii="宋体" w:hAnsi="宋体" w:eastAsia="宋体" w:cs="宋体"/>
          <w:sz w:val="32"/>
          <w:szCs w:val="32"/>
          <w:u w:val="single"/>
        </w:rPr>
        <w:t>年</w:t>
      </w:r>
      <w:r>
        <w:rPr>
          <w:rFonts w:hint="eastAsia" w:ascii="宋体" w:hAnsi="宋体" w:cs="宋体"/>
          <w:sz w:val="32"/>
          <w:szCs w:val="32"/>
          <w:u w:val="single"/>
          <w:lang w:val="en-US" w:eastAsia="zh-CN"/>
        </w:rPr>
        <w:t>6</w:t>
      </w:r>
      <w:r>
        <w:rPr>
          <w:rFonts w:hint="eastAsia" w:ascii="宋体" w:hAnsi="宋体" w:eastAsia="宋体" w:cs="宋体"/>
          <w:sz w:val="32"/>
          <w:szCs w:val="32"/>
          <w:u w:val="single"/>
          <w:lang w:val="en-US" w:eastAsia="zh-CN"/>
        </w:rPr>
        <w:t>月</w:t>
      </w:r>
      <w:r>
        <w:rPr>
          <w:rFonts w:hint="eastAsia" w:ascii="宋体" w:hAnsi="宋体" w:cs="宋体"/>
          <w:sz w:val="32"/>
          <w:szCs w:val="32"/>
          <w:u w:val="single"/>
          <w:lang w:val="en-US" w:eastAsia="zh-CN"/>
        </w:rPr>
        <w:t>20</w:t>
      </w:r>
      <w:r>
        <w:rPr>
          <w:rFonts w:hint="eastAsia" w:ascii="宋体" w:hAnsi="宋体" w:eastAsia="宋体" w:cs="宋体"/>
          <w:sz w:val="32"/>
          <w:szCs w:val="32"/>
          <w:u w:val="single"/>
        </w:rPr>
        <w:t>日印发</w:t>
      </w:r>
      <w:r>
        <w:rPr>
          <w:rFonts w:hint="eastAsia" w:ascii="黑体" w:eastAsia="黑体"/>
          <w:sz w:val="30"/>
          <w:szCs w:val="30"/>
          <w:u w:val="single"/>
        </w:rPr>
        <w:t xml:space="preserve"> </w:t>
      </w:r>
      <w:r>
        <w:rPr>
          <w:rFonts w:hint="eastAsia" w:ascii="黑体" w:eastAsia="黑体"/>
          <w:sz w:val="30"/>
          <w:szCs w:val="30"/>
        </w:rPr>
        <w:t xml:space="preserve">  </w:t>
      </w:r>
    </w:p>
    <w:p>
      <w:pPr>
        <w:spacing w:line="580" w:lineRule="exact"/>
        <w:rPr>
          <w:rFonts w:hint="eastAsia" w:ascii="宋体" w:hAnsi="宋体" w:eastAsia="宋体" w:cs="宋体"/>
          <w:sz w:val="32"/>
          <w:szCs w:val="32"/>
        </w:rPr>
      </w:pPr>
      <w:r>
        <w:rPr>
          <w:rFonts w:hint="eastAsia" w:ascii="宋体" w:hAnsi="宋体" w:eastAsia="宋体" w:cs="宋体"/>
          <w:sz w:val="30"/>
          <w:szCs w:val="30"/>
          <w:lang w:val="en-US" w:eastAsia="zh-CN"/>
        </w:rPr>
        <w:t xml:space="preserve">拟稿：陈思敏   </w:t>
      </w:r>
      <w:r>
        <w:rPr>
          <w:rFonts w:hint="eastAsia" w:ascii="黑体" w:eastAsia="黑体"/>
          <w:sz w:val="30"/>
          <w:szCs w:val="30"/>
          <w:lang w:val="en-US" w:eastAsia="zh-CN"/>
        </w:rPr>
        <w:t xml:space="preserve">               </w:t>
      </w:r>
      <w:r>
        <w:rPr>
          <w:rFonts w:hint="eastAsia" w:ascii="黑体" w:eastAsia="黑体"/>
          <w:sz w:val="30"/>
          <w:szCs w:val="30"/>
        </w:rPr>
        <w:t xml:space="preserve"> </w:t>
      </w:r>
      <w:r>
        <w:rPr>
          <w:rFonts w:hint="eastAsia" w:ascii="黑体" w:eastAsia="黑体"/>
          <w:sz w:val="30"/>
          <w:szCs w:val="30"/>
          <w:lang w:val="en-US" w:eastAsia="zh-CN"/>
        </w:rPr>
        <w:t xml:space="preserve">  </w:t>
      </w:r>
      <w:bookmarkStart w:id="0" w:name="_GoBack"/>
      <w:bookmarkEnd w:id="0"/>
      <w:r>
        <w:rPr>
          <w:rFonts w:hint="eastAsia" w:ascii="黑体" w:eastAsia="黑体"/>
          <w:sz w:val="30"/>
          <w:szCs w:val="30"/>
          <w:lang w:val="en-US" w:eastAsia="zh-CN"/>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核对：</w:t>
      </w:r>
      <w:r>
        <w:rPr>
          <w:rFonts w:hint="eastAsia" w:ascii="宋体" w:hAnsi="宋体" w:eastAsia="宋体" w:cs="宋体"/>
          <w:sz w:val="32"/>
          <w:szCs w:val="32"/>
          <w:lang w:eastAsia="zh-CN"/>
        </w:rPr>
        <w:t>何玉英</w:t>
      </w:r>
      <w:r>
        <w:rPr>
          <w:rFonts w:hint="eastAsia" w:ascii="宋体" w:hAnsi="宋体" w:eastAsia="宋体" w:cs="宋体"/>
          <w:sz w:val="32"/>
          <w:szCs w:val="32"/>
        </w:rPr>
        <w:t xml:space="preserve"> （共印</w:t>
      </w:r>
      <w:r>
        <w:rPr>
          <w:rFonts w:hint="eastAsia" w:ascii="宋体" w:hAnsi="宋体" w:eastAsia="宋体" w:cs="宋体"/>
          <w:sz w:val="32"/>
          <w:szCs w:val="32"/>
          <w:lang w:val="en-US" w:eastAsia="zh-CN"/>
        </w:rPr>
        <w:t>1</w:t>
      </w:r>
      <w:r>
        <w:rPr>
          <w:rFonts w:hint="eastAsia" w:ascii="宋体" w:hAnsi="宋体" w:eastAsia="宋体" w:cs="宋体"/>
          <w:b/>
          <w:sz w:val="32"/>
          <w:szCs w:val="32"/>
        </w:rPr>
        <w:t>份）</w:t>
      </w:r>
    </w:p>
    <w:p>
      <w:pPr>
        <w:tabs>
          <w:tab w:val="left" w:pos="291"/>
        </w:tabs>
        <w:spacing w:line="360" w:lineRule="auto"/>
        <w:ind w:firstLine="560" w:firstLineChars="200"/>
        <w:jc w:val="left"/>
        <w:rPr>
          <w:rFonts w:hint="eastAsia" w:ascii="宋体" w:hAnsi="宋体" w:eastAsia="宋体" w:cs="宋体"/>
          <w:b w:val="0"/>
          <w:bCs/>
          <w:color w:val="000000" w:themeColor="text1"/>
          <w:sz w:val="28"/>
          <w:szCs w:val="28"/>
          <w:lang w:val="en-US" w:eastAsia="zh-CN"/>
          <w14:textFill>
            <w14:solidFill>
              <w14:schemeClr w14:val="tx1"/>
            </w14:solidFill>
          </w14:textFill>
        </w:rPr>
      </w:pPr>
    </w:p>
    <w:p>
      <w:pPr>
        <w:rPr>
          <w:rFonts w:hint="eastAsia" w:ascii="宋体" w:hAnsi="宋体" w:eastAsia="宋体" w:cs="宋体"/>
        </w:rPr>
      </w:pPr>
    </w:p>
    <w:sectPr>
      <w:pgSz w:w="11906" w:h="16838"/>
      <w:pgMar w:top="1043" w:right="1066" w:bottom="1043"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lantagenet Cherokee">
    <w:panose1 w:val="02020602070100000000"/>
    <w:charset w:val="00"/>
    <w:family w:val="auto"/>
    <w:pitch w:val="default"/>
    <w:sig w:usb0="00000003" w:usb1="00000000" w:usb2="00001000" w:usb3="00000000" w:csb0="00000001" w:csb1="00000000"/>
  </w:font>
  <w:font w:name="Lucida Console">
    <w:panose1 w:val="020B0609040504020204"/>
    <w:charset w:val="00"/>
    <w:family w:val="auto"/>
    <w:pitch w:val="default"/>
    <w:sig w:usb0="8000028F" w:usb1="00001800" w:usb2="00000000" w:usb3="00000000" w:csb0="0000001F" w:csb1="D7D70000"/>
  </w:font>
  <w:font w:name="Lao UI">
    <w:panose1 w:val="020B0502040204020203"/>
    <w:charset w:val="00"/>
    <w:family w:val="auto"/>
    <w:pitch w:val="default"/>
    <w:sig w:usb0="02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989472"/>
    <w:multiLevelType w:val="singleLevel"/>
    <w:tmpl w:val="6D989472"/>
    <w:lvl w:ilvl="0" w:tentative="0">
      <w:start w:val="1"/>
      <w:numFmt w:val="decimal"/>
      <w:suff w:val="nothing"/>
      <w:lvlText w:val="%1、"/>
      <w:lvlJc w:val="left"/>
      <w:rPr>
        <w:rFonts w:hint="default" w:ascii="宋体" w:hAnsi="宋体" w:eastAsia="宋体" w:cs="宋体"/>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xNDM3YjUxMjZkMWYwZDNmNzk1OTc2N2YyYjE4Y2MifQ=="/>
  </w:docVars>
  <w:rsids>
    <w:rsidRoot w:val="1A51554B"/>
    <w:rsid w:val="001A1FA6"/>
    <w:rsid w:val="0026130D"/>
    <w:rsid w:val="00302B31"/>
    <w:rsid w:val="010E0070"/>
    <w:rsid w:val="025D6F7C"/>
    <w:rsid w:val="03D60954"/>
    <w:rsid w:val="047C2BD7"/>
    <w:rsid w:val="04FC6AE0"/>
    <w:rsid w:val="05087233"/>
    <w:rsid w:val="060B336B"/>
    <w:rsid w:val="07662E5F"/>
    <w:rsid w:val="078F59E9"/>
    <w:rsid w:val="079E2709"/>
    <w:rsid w:val="08544267"/>
    <w:rsid w:val="08646C70"/>
    <w:rsid w:val="09371E95"/>
    <w:rsid w:val="0A9B4624"/>
    <w:rsid w:val="0B097A3D"/>
    <w:rsid w:val="0B2823DD"/>
    <w:rsid w:val="0B337917"/>
    <w:rsid w:val="0B6B4077"/>
    <w:rsid w:val="0B6D0D74"/>
    <w:rsid w:val="0D4C1C87"/>
    <w:rsid w:val="0E0A7DA1"/>
    <w:rsid w:val="0E1A6F96"/>
    <w:rsid w:val="0E791068"/>
    <w:rsid w:val="0EC319B3"/>
    <w:rsid w:val="0FE443F8"/>
    <w:rsid w:val="106851B2"/>
    <w:rsid w:val="142851FC"/>
    <w:rsid w:val="14520BB9"/>
    <w:rsid w:val="1594241D"/>
    <w:rsid w:val="15D01000"/>
    <w:rsid w:val="15FA2BC8"/>
    <w:rsid w:val="161672D6"/>
    <w:rsid w:val="17D55532"/>
    <w:rsid w:val="17FD46D6"/>
    <w:rsid w:val="18587425"/>
    <w:rsid w:val="185E5E09"/>
    <w:rsid w:val="18CE20EA"/>
    <w:rsid w:val="1940117E"/>
    <w:rsid w:val="19C372B2"/>
    <w:rsid w:val="1A51554B"/>
    <w:rsid w:val="1AB11006"/>
    <w:rsid w:val="1B4C0A7F"/>
    <w:rsid w:val="1C8A70B8"/>
    <w:rsid w:val="1D0D1432"/>
    <w:rsid w:val="1D9205F3"/>
    <w:rsid w:val="1E9E60BA"/>
    <w:rsid w:val="2047506B"/>
    <w:rsid w:val="20605D1D"/>
    <w:rsid w:val="206550E2"/>
    <w:rsid w:val="20CA13E8"/>
    <w:rsid w:val="21BB7F17"/>
    <w:rsid w:val="221729FA"/>
    <w:rsid w:val="22581B02"/>
    <w:rsid w:val="225D7F96"/>
    <w:rsid w:val="23E56492"/>
    <w:rsid w:val="241B7DF0"/>
    <w:rsid w:val="24596D0B"/>
    <w:rsid w:val="25C74149"/>
    <w:rsid w:val="261D1FBA"/>
    <w:rsid w:val="268C2C23"/>
    <w:rsid w:val="27C44929"/>
    <w:rsid w:val="27F05BD9"/>
    <w:rsid w:val="281D56FF"/>
    <w:rsid w:val="28A72DED"/>
    <w:rsid w:val="2A6665E2"/>
    <w:rsid w:val="2A9934A9"/>
    <w:rsid w:val="2B734342"/>
    <w:rsid w:val="2C495B61"/>
    <w:rsid w:val="2D2C76B3"/>
    <w:rsid w:val="2E1F58B4"/>
    <w:rsid w:val="2FA13FF5"/>
    <w:rsid w:val="306B3ED3"/>
    <w:rsid w:val="30F6114A"/>
    <w:rsid w:val="31306953"/>
    <w:rsid w:val="31490108"/>
    <w:rsid w:val="31F64DA9"/>
    <w:rsid w:val="33C2686F"/>
    <w:rsid w:val="341F3161"/>
    <w:rsid w:val="34A22009"/>
    <w:rsid w:val="374920E7"/>
    <w:rsid w:val="37D77D6E"/>
    <w:rsid w:val="382E7117"/>
    <w:rsid w:val="38AC5B4C"/>
    <w:rsid w:val="39290F4A"/>
    <w:rsid w:val="393D440C"/>
    <w:rsid w:val="394E4CF9"/>
    <w:rsid w:val="3A2B3FFE"/>
    <w:rsid w:val="3A3E27D3"/>
    <w:rsid w:val="3B003D26"/>
    <w:rsid w:val="3C5077A5"/>
    <w:rsid w:val="3C8F7316"/>
    <w:rsid w:val="3E0F7997"/>
    <w:rsid w:val="3E90451F"/>
    <w:rsid w:val="3F4C6935"/>
    <w:rsid w:val="3FF2350F"/>
    <w:rsid w:val="40F05A11"/>
    <w:rsid w:val="41063E09"/>
    <w:rsid w:val="41E31FB8"/>
    <w:rsid w:val="42FF4ACA"/>
    <w:rsid w:val="442C2302"/>
    <w:rsid w:val="44866BBB"/>
    <w:rsid w:val="44AD2602"/>
    <w:rsid w:val="44D22496"/>
    <w:rsid w:val="45353FD1"/>
    <w:rsid w:val="4597548E"/>
    <w:rsid w:val="45C07009"/>
    <w:rsid w:val="46CD7BD8"/>
    <w:rsid w:val="47A3011A"/>
    <w:rsid w:val="498424C2"/>
    <w:rsid w:val="49B33BCB"/>
    <w:rsid w:val="4A974254"/>
    <w:rsid w:val="4BDC698D"/>
    <w:rsid w:val="4DE54215"/>
    <w:rsid w:val="4ECC7F56"/>
    <w:rsid w:val="4F8F04B7"/>
    <w:rsid w:val="4FA709C3"/>
    <w:rsid w:val="503C4655"/>
    <w:rsid w:val="50D26D30"/>
    <w:rsid w:val="533159CB"/>
    <w:rsid w:val="53764934"/>
    <w:rsid w:val="546342ED"/>
    <w:rsid w:val="547339FC"/>
    <w:rsid w:val="54760877"/>
    <w:rsid w:val="5560764A"/>
    <w:rsid w:val="55735DDC"/>
    <w:rsid w:val="57440AB8"/>
    <w:rsid w:val="57B65C47"/>
    <w:rsid w:val="58C326F9"/>
    <w:rsid w:val="59BF6AD5"/>
    <w:rsid w:val="5A8B168A"/>
    <w:rsid w:val="5AA0017F"/>
    <w:rsid w:val="5ACE5056"/>
    <w:rsid w:val="5AF44393"/>
    <w:rsid w:val="5B1C4013"/>
    <w:rsid w:val="5B4A62BF"/>
    <w:rsid w:val="5BF154A0"/>
    <w:rsid w:val="5D114282"/>
    <w:rsid w:val="5E0F35C8"/>
    <w:rsid w:val="5E4C2E61"/>
    <w:rsid w:val="5F48529E"/>
    <w:rsid w:val="5F4A0BB3"/>
    <w:rsid w:val="5F4E49B7"/>
    <w:rsid w:val="5F7E1979"/>
    <w:rsid w:val="5FB76A00"/>
    <w:rsid w:val="5FD6635E"/>
    <w:rsid w:val="5FF53085"/>
    <w:rsid w:val="605270F0"/>
    <w:rsid w:val="60CE5DB0"/>
    <w:rsid w:val="60DF6A93"/>
    <w:rsid w:val="60E5134B"/>
    <w:rsid w:val="61425595"/>
    <w:rsid w:val="61665E0A"/>
    <w:rsid w:val="62085216"/>
    <w:rsid w:val="62AD1E17"/>
    <w:rsid w:val="630E7E62"/>
    <w:rsid w:val="6315416A"/>
    <w:rsid w:val="6397270F"/>
    <w:rsid w:val="641F1993"/>
    <w:rsid w:val="642108EC"/>
    <w:rsid w:val="64414AEB"/>
    <w:rsid w:val="64D6096C"/>
    <w:rsid w:val="64E5191A"/>
    <w:rsid w:val="64F6094A"/>
    <w:rsid w:val="653B1012"/>
    <w:rsid w:val="657809E0"/>
    <w:rsid w:val="65F47C1F"/>
    <w:rsid w:val="66862C89"/>
    <w:rsid w:val="6691034B"/>
    <w:rsid w:val="686D3F7D"/>
    <w:rsid w:val="692353C6"/>
    <w:rsid w:val="6B1E1125"/>
    <w:rsid w:val="6BCE3108"/>
    <w:rsid w:val="6BEA0A39"/>
    <w:rsid w:val="6BF6440D"/>
    <w:rsid w:val="6C321673"/>
    <w:rsid w:val="6C4258A4"/>
    <w:rsid w:val="6CE23EDA"/>
    <w:rsid w:val="6DC22FDD"/>
    <w:rsid w:val="6DF130DE"/>
    <w:rsid w:val="6E1868BC"/>
    <w:rsid w:val="6E895A0C"/>
    <w:rsid w:val="6E9F2B3A"/>
    <w:rsid w:val="6EBB7FDF"/>
    <w:rsid w:val="6EDF2D81"/>
    <w:rsid w:val="6F8F0238"/>
    <w:rsid w:val="70072EBD"/>
    <w:rsid w:val="71D71745"/>
    <w:rsid w:val="7416736B"/>
    <w:rsid w:val="74C0380A"/>
    <w:rsid w:val="75137DDD"/>
    <w:rsid w:val="76974649"/>
    <w:rsid w:val="76AD2C6A"/>
    <w:rsid w:val="76CA11C4"/>
    <w:rsid w:val="76EE34A9"/>
    <w:rsid w:val="77E84F9F"/>
    <w:rsid w:val="780E5FC9"/>
    <w:rsid w:val="789C6106"/>
    <w:rsid w:val="78A1349E"/>
    <w:rsid w:val="78B062FB"/>
    <w:rsid w:val="78B74F24"/>
    <w:rsid w:val="79055981"/>
    <w:rsid w:val="7933353D"/>
    <w:rsid w:val="7968779E"/>
    <w:rsid w:val="79B25E17"/>
    <w:rsid w:val="79DC52A2"/>
    <w:rsid w:val="7BC64D3C"/>
    <w:rsid w:val="7C0B180E"/>
    <w:rsid w:val="7D253575"/>
    <w:rsid w:val="7D3D00ED"/>
    <w:rsid w:val="7E295464"/>
    <w:rsid w:val="7E5A648D"/>
    <w:rsid w:val="7E644F39"/>
    <w:rsid w:val="7F0745B4"/>
    <w:rsid w:val="7F3B065C"/>
    <w:rsid w:val="7F7141D8"/>
    <w:rsid w:val="7F98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583</Words>
  <Characters>606</Characters>
  <Lines>0</Lines>
  <Paragraphs>0</Paragraphs>
  <TotalTime>8</TotalTime>
  <ScaleCrop>false</ScaleCrop>
  <LinksUpToDate>false</LinksUpToDate>
  <CharactersWithSpaces>793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2022-04-15T08:10:00Z</dcterms:created>
  <dc:creator>太极大药房解放北路店15680892241</dc:creator>
  <cp:lastModifiedBy>谭钦文</cp:lastModifiedBy>
  <dcterms:modified xsi:type="dcterms:W3CDTF">2023-06-20T11:16:54Z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CAF7889B00BF401AA6CB10D17223CD97</vt:lpwstr>
  </property>
</Properties>
</file>