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月患教活动总结填报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共72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7915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单日患教单品销售最高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华泰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店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，在疫情+高温的情况下，仍尽力维护顾客争销量，共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销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草晶华系列31罐2880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67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92"/>
        <w:gridCol w:w="571"/>
        <w:gridCol w:w="571"/>
        <w:gridCol w:w="555"/>
        <w:gridCol w:w="555"/>
        <w:gridCol w:w="555"/>
        <w:gridCol w:w="555"/>
        <w:gridCol w:w="571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全年任务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-733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根据2022患教义诊活动执行方案核定各门店完成情况及积分奖励，具体见明细表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门店罚款统一录在店长ID上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FE864DF"/>
    <w:rsid w:val="00251A15"/>
    <w:rsid w:val="102833F7"/>
    <w:rsid w:val="1A570CB9"/>
    <w:rsid w:val="1C3F7C1C"/>
    <w:rsid w:val="1DB04D45"/>
    <w:rsid w:val="1FE864DF"/>
    <w:rsid w:val="20916252"/>
    <w:rsid w:val="20A04D6A"/>
    <w:rsid w:val="238D6DE4"/>
    <w:rsid w:val="25A5657F"/>
    <w:rsid w:val="2848299E"/>
    <w:rsid w:val="2B4F4DE2"/>
    <w:rsid w:val="2E6265CF"/>
    <w:rsid w:val="331F7801"/>
    <w:rsid w:val="3BFD1077"/>
    <w:rsid w:val="43F9404D"/>
    <w:rsid w:val="46733956"/>
    <w:rsid w:val="4B806FAF"/>
    <w:rsid w:val="4CB96917"/>
    <w:rsid w:val="4D4D3F5A"/>
    <w:rsid w:val="532773FF"/>
    <w:rsid w:val="55AC4AC3"/>
    <w:rsid w:val="56BE1548"/>
    <w:rsid w:val="58C23E68"/>
    <w:rsid w:val="592B3501"/>
    <w:rsid w:val="5A794915"/>
    <w:rsid w:val="5AA07902"/>
    <w:rsid w:val="5BFB631F"/>
    <w:rsid w:val="5C1D4C14"/>
    <w:rsid w:val="5EA00AA6"/>
    <w:rsid w:val="5F6F6BE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1158</Words>
  <Characters>1285</Characters>
  <Lines>0</Lines>
  <Paragraphs>0</Paragraphs>
  <TotalTime>2</TotalTime>
  <ScaleCrop>false</ScaleCrop>
  <LinksUpToDate>false</LinksUpToDate>
  <CharactersWithSpaces>1294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2022-06-21T16:26:00Z</dcterms:created>
  <dc:creator>兮兮儿</dc:creator>
  <cp:lastModifiedBy>兮兮儿</cp:lastModifiedBy>
  <dcterms:modified xsi:type="dcterms:W3CDTF">2022-09-19T09:23:17Z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33D297AC51A643D091D3322B8F09BC90</vt:lpwstr>
  </property>
</Properties>
</file>