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4" w:line="240" w:lineRule="auto"/>
        <w:jc w:val="both"/>
        <w:textAlignment w:val="auto"/>
        <w:outlineLvl w:val="9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172</w:t>
      </w:r>
      <w:r>
        <w:rPr>
          <w:rFonts w:hint="default" w:ascii="Arial" w:hAnsi="Arial" w:cs="Arial"/>
          <w:b/>
          <w:sz w:val="28"/>
          <w:szCs w:val="28"/>
        </w:rPr>
        <w:t xml:space="preserve">号           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sz w:val="28"/>
          <w:szCs w:val="28"/>
        </w:rPr>
        <w:t>签发人</w:t>
      </w:r>
      <w:r>
        <w:rPr>
          <w:rFonts w:hint="eastAsia" w:ascii="Arial" w:hAnsi="Arial" w:cs="Arial"/>
          <w:b/>
          <w:sz w:val="28"/>
          <w:szCs w:val="28"/>
          <w:lang w:eastAsia="zh-CN"/>
        </w:rPr>
        <w:t>：蒋炜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4" w:line="240" w:lineRule="auto"/>
        <w:ind w:left="3092" w:hanging="3313" w:hangingChars="1100"/>
        <w:jc w:val="center"/>
        <w:textAlignment w:val="auto"/>
        <w:outlineLvl w:val="9"/>
        <w:rPr>
          <w:rFonts w:hint="default" w:ascii="Arial" w:hAnsi="Arial" w:cs="Arial"/>
          <w:sz w:val="32"/>
          <w:szCs w:val="28"/>
        </w:rPr>
      </w:pPr>
      <w:r>
        <w:rPr>
          <w:rFonts w:hint="default" w:ascii="Arial" w:hAnsi="Arial" w:cs="Arial"/>
          <w:b/>
          <w:sz w:val="30"/>
          <w:szCs w:val="30"/>
        </w:rPr>
        <w:t>关于20</w:t>
      </w:r>
      <w:r>
        <w:rPr>
          <w:rFonts w:hint="eastAsia" w:ascii="Arial" w:hAnsi="Arial" w:cs="Arial"/>
          <w:b/>
          <w:sz w:val="30"/>
          <w:szCs w:val="30"/>
          <w:lang w:val="en-US" w:eastAsia="zh-CN"/>
        </w:rPr>
        <w:t>22</w:t>
      </w:r>
      <w:r>
        <w:rPr>
          <w:rFonts w:hint="default" w:ascii="Arial" w:hAnsi="Arial" w:cs="Arial"/>
          <w:b/>
          <w:sz w:val="30"/>
          <w:szCs w:val="30"/>
        </w:rPr>
        <w:t>年</w:t>
      </w:r>
      <w:r>
        <w:rPr>
          <w:rFonts w:hint="eastAsia" w:ascii="Arial" w:hAnsi="Arial" w:cs="Arial"/>
          <w:b/>
          <w:sz w:val="30"/>
          <w:szCs w:val="30"/>
          <w:lang w:val="en-US" w:eastAsia="zh-CN"/>
        </w:rPr>
        <w:t>7月闪电战奖励</w:t>
      </w:r>
      <w:r>
        <w:rPr>
          <w:rFonts w:hint="default" w:ascii="Arial" w:hAnsi="Arial" w:cs="Arial"/>
          <w:b/>
          <w:sz w:val="30"/>
          <w:szCs w:val="30"/>
        </w:rPr>
        <w:t>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Arial" w:hAnsi="Arial" w:cs="Arial"/>
          <w:b/>
          <w:bCs/>
          <w:szCs w:val="21"/>
        </w:rPr>
      </w:pPr>
      <w:r>
        <w:rPr>
          <w:rFonts w:hint="default" w:ascii="Arial" w:hAnsi="Arial" w:cs="Arial"/>
          <w:b/>
          <w:bCs/>
          <w:szCs w:val="21"/>
        </w:rPr>
        <w:t>各片区及门店</w:t>
      </w:r>
      <w:r>
        <w:rPr>
          <w:rFonts w:hint="eastAsia" w:ascii="Arial" w:hAnsi="Arial" w:cs="Arial"/>
          <w:b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7月</w:t>
      </w:r>
      <w:bookmarkStart w:id="0" w:name="_GoBack"/>
      <w:r>
        <w:rPr>
          <w:rFonts w:hint="eastAsia" w:ascii="Arial" w:hAnsi="Arial" w:cs="Arial"/>
          <w:b/>
          <w:bCs/>
          <w:szCs w:val="21"/>
          <w:lang w:val="en-US" w:eastAsia="zh-CN"/>
        </w:rPr>
        <w:t>“闪电战”活动，门店聚人气、增销售、员工挣奖金，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共72家门店，开展779场、</w:t>
      </w:r>
      <w:bookmarkEnd w:id="0"/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客流环比增幅8.3%、销售环比增幅8.9%，毛利增长10.4万。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Arial" w:hAnsi="Arial" w:cs="Arial"/>
          <w:b/>
          <w:bCs/>
          <w:color w:val="auto"/>
          <w:szCs w:val="21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7月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活动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场次“前三名”：</w:t>
      </w:r>
    </w:p>
    <w:tbl>
      <w:tblPr>
        <w:tblStyle w:val="2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22"/>
        <w:gridCol w:w="825"/>
        <w:gridCol w:w="1205"/>
        <w:gridCol w:w="873"/>
        <w:gridCol w:w="1050"/>
        <w:gridCol w:w="930"/>
        <w:gridCol w:w="115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环比数据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环比增幅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大邑南街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21207.6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11252.6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88.47%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80.91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闪电战神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111620.2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1033.7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81174.5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37.51%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21.22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闪电战神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驷马桥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39738.93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622.17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31711.85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25.31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闪电战神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7月销售、客流增幅共家24门店达标，超毛奖励 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共 2595.5元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，明细如下：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drawing>
          <wp:inline distT="0" distB="0" distL="114300" distR="114300">
            <wp:extent cx="5267325" cy="3818890"/>
            <wp:effectExtent l="0" t="0" r="9525" b="10160"/>
            <wp:docPr id="1" name="图片 1" descr="360BF14D-3B19-467e-A1CB-9C27E51A8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BF14D-3B19-467e-A1CB-9C27E51A8B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三、“闪电战”更新奖励政策如下：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</w:t>
      </w:r>
      <w:r>
        <w:rPr>
          <w:rFonts w:hint="eastAsia"/>
          <w:b/>
          <w:bCs/>
          <w:color w:val="FF0000"/>
          <w:lang w:val="en-US" w:eastAsia="zh-CN"/>
        </w:rPr>
        <w:t>环比上月日均</w:t>
      </w:r>
      <w:r>
        <w:rPr>
          <w:rFonts w:hint="eastAsia"/>
          <w:b/>
          <w:bCs/>
          <w:color w:val="auto"/>
          <w:lang w:val="en-US" w:eastAsia="zh-CN"/>
        </w:rPr>
        <w:t>销售增幅40%-100%、</w:t>
      </w:r>
      <w:r>
        <w:rPr>
          <w:rFonts w:hint="eastAsia"/>
          <w:b/>
          <w:bCs/>
          <w:color w:val="FF0000"/>
          <w:lang w:val="en-US" w:eastAsia="zh-CN"/>
        </w:rPr>
        <w:t>客流不下降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（1）奖励：</w:t>
      </w:r>
    </w:p>
    <w:tbl>
      <w:tblPr>
        <w:tblStyle w:val="3"/>
        <w:tblW w:w="8979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15"/>
        <w:gridCol w:w="1536"/>
        <w:gridCol w:w="1536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超毛奖励比例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更改为按月总场次合并考核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1、月总场次客流不下降、销售增幅达标、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按超日均毛利额奖励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10%~30%；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2、8月起闪电战活动期间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合计总销售环比不下降</w:t>
            </w:r>
            <w:r>
              <w:rPr>
                <w:rFonts w:hint="eastAsia" w:ascii="Arial" w:hAnsi="Arial" w:cs="Arial"/>
                <w:b/>
                <w:bCs/>
                <w:color w:val="0000FF"/>
                <w:szCs w:val="21"/>
                <w:lang w:val="en-US" w:eastAsia="zh-CN"/>
              </w:rPr>
              <w:t>，但未达到超毛奖励增幅目标，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t>才能将按照一场加2积分奖励门店。</w:t>
            </w:r>
            <w:r>
              <w:rPr>
                <w:rFonts w:hint="eastAsia" w:ascii="Arial" w:hAnsi="Arial" w:cs="Arial"/>
                <w:b/>
                <w:bCs/>
                <w:color w:val="FF0000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处罚：当月活动场次未达标，处罚50元/场。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【闪电战  活动期间须完成事项】：</w:t>
      </w:r>
    </w:p>
    <w:tbl>
      <w:tblPr>
        <w:tblStyle w:val="2"/>
        <w:tblW w:w="9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1、根据计划表时间，提前1周进行品种备货。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—— 店长完成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2、人员安排：至少1人进行DM单发放、引客、销售；1人戴小蜜蜂进行外摆商品区域“吆喝”宣传、销售；收银台1人边收银边进行收银台换购商品销售；卖场销售。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——片长督促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3、活动开始前30分钟进行店外氛围布置、商品陈列外摆、喇叭、语音播放。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 全员完成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拍摄活动现场照片不少于5张，《现场氛围照片、团队士气加油照片》、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门店分享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至片区钉钉群、四川大群；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1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片长须转发至后勤群、营运部群  —— 片长完成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5、每晚报销售数据：限时抢购活动数据发至片区群，进行活动总结优、缺点（50字以内）。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—— 店长完成                      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片长转发至后勤群、营运部群  —— 片长完成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6、片区每晚排名后三名门店须查看活动门店数据及总结。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——片长督促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7、活动数据统计：活动当天需《填写数据情况表》，拍照上传至钉钉。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——店长完成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8、每天进行前一天“闪电战果”通报，每周一制作闪电战花絮。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——营运部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主题词：关于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>20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22年   7月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闪电战活动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通报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</w:p>
    <w:p>
      <w:pPr>
        <w:pStyle w:val="5"/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>四川太极大药房连锁有限公司                   20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17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日印发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u w:val="none"/>
        </w:rPr>
        <w:t xml:space="preserve">   </w:t>
      </w:r>
    </w:p>
    <w:p>
      <w:r>
        <w:rPr>
          <w:rFonts w:hint="default" w:ascii="Arial" w:hAnsi="Arial" w:cs="Arial"/>
          <w:b/>
          <w:bCs/>
          <w:sz w:val="24"/>
          <w:szCs w:val="24"/>
        </w:rPr>
        <w:t>打印：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王四维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cs="Arial"/>
          <w:b/>
          <w:bCs/>
          <w:sz w:val="24"/>
          <w:szCs w:val="24"/>
        </w:rPr>
        <w:t>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（共印1份）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3EF69"/>
    <w:multiLevelType w:val="singleLevel"/>
    <w:tmpl w:val="9C93EF6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8CED60E"/>
    <w:multiLevelType w:val="singleLevel"/>
    <w:tmpl w:val="A8CED60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5C2C6D1"/>
    <w:multiLevelType w:val="singleLevel"/>
    <w:tmpl w:val="55C2C6D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54E2C28"/>
    <w:rsid w:val="3C390048"/>
    <w:rsid w:val="4CF022CD"/>
    <w:rsid w:val="524C3561"/>
    <w:rsid w:val="6AB90D56"/>
    <w:rsid w:val="7B4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878</Words>
  <Characters>1057</Characters>
  <Lines>0</Lines>
  <Paragraphs>0</Paragraphs>
  <TotalTime>5</TotalTime>
  <ScaleCrop>false</ScaleCrop>
  <LinksUpToDate>false</LinksUpToDate>
  <CharactersWithSpaces>1234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2022-06-13T12:17:00Z</dcterms:created>
  <dc:creator>Administrator</dc:creator>
  <cp:lastModifiedBy>Administrator</cp:lastModifiedBy>
  <dcterms:modified xsi:type="dcterms:W3CDTF">2022-08-17T09:25:31Z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DF558E0D51284B7E9CAC588D7C32ADF9</vt:lpwstr>
  </property>
</Properties>
</file>