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4" w:line="240" w:lineRule="auto"/>
        <w:jc w:val="both"/>
        <w:textAlignment w:val="auto"/>
        <w:outlineLvl w:val="9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124</w:t>
      </w:r>
      <w:r>
        <w:rPr>
          <w:rFonts w:hint="default" w:ascii="Arial" w:hAnsi="Arial" w:cs="Arial"/>
          <w:b/>
          <w:sz w:val="28"/>
          <w:szCs w:val="28"/>
        </w:rPr>
        <w:t xml:space="preserve">号               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</w:t>
      </w:r>
      <w:r>
        <w:rPr>
          <w:rFonts w:hint="default" w:ascii="Arial" w:hAnsi="Arial" w:cs="Arial"/>
          <w:b/>
          <w:sz w:val="28"/>
          <w:szCs w:val="28"/>
        </w:rPr>
        <w:t xml:space="preserve"> 签发人</w:t>
      </w:r>
      <w:r>
        <w:rPr>
          <w:rFonts w:hint="eastAsia" w:ascii="Arial" w:hAnsi="Arial" w:cs="Arial"/>
          <w:b/>
          <w:sz w:val="28"/>
          <w:szCs w:val="28"/>
          <w:lang w:eastAsia="zh-CN"/>
        </w:rPr>
        <w:t>：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4" w:line="240" w:lineRule="auto"/>
        <w:ind w:left="3092" w:hanging="3313" w:hangingChars="1100"/>
        <w:jc w:val="center"/>
        <w:textAlignment w:val="auto"/>
        <w:outlineLvl w:val="9"/>
        <w:rPr>
          <w:rFonts w:hint="default" w:ascii="Arial" w:hAnsi="Arial" w:cs="Arial"/>
          <w:sz w:val="32"/>
          <w:szCs w:val="28"/>
        </w:rPr>
      </w:pPr>
      <w:r>
        <w:rPr>
          <w:rFonts w:hint="default" w:ascii="Arial" w:hAnsi="Arial" w:cs="Arial"/>
          <w:b/>
          <w:sz w:val="30"/>
          <w:szCs w:val="30"/>
        </w:rPr>
        <w:t>关于20</w:t>
      </w:r>
      <w:r>
        <w:rPr>
          <w:rFonts w:hint="eastAsia" w:ascii="Arial" w:hAnsi="Arial" w:cs="Arial"/>
          <w:b/>
          <w:sz w:val="30"/>
          <w:szCs w:val="30"/>
          <w:lang w:val="en-US" w:eastAsia="zh-CN"/>
        </w:rPr>
        <w:t>22</w:t>
      </w:r>
      <w:r>
        <w:rPr>
          <w:rFonts w:hint="default" w:ascii="Arial" w:hAnsi="Arial" w:cs="Arial"/>
          <w:b/>
          <w:sz w:val="30"/>
          <w:szCs w:val="30"/>
        </w:rPr>
        <w:t>年</w:t>
      </w:r>
      <w:r>
        <w:rPr>
          <w:rFonts w:hint="eastAsia" w:ascii="Arial" w:hAnsi="Arial" w:cs="Arial"/>
          <w:b/>
          <w:sz w:val="30"/>
          <w:szCs w:val="30"/>
          <w:lang w:val="en-US" w:eastAsia="zh-CN"/>
        </w:rPr>
        <w:t>5月闪电战奖励</w:t>
      </w:r>
      <w:r>
        <w:rPr>
          <w:rFonts w:hint="default" w:ascii="Arial" w:hAnsi="Arial" w:cs="Arial"/>
          <w:b/>
          <w:sz w:val="30"/>
          <w:szCs w:val="30"/>
        </w:rPr>
        <w:t>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Arial" w:hAnsi="Arial" w:cs="Arial"/>
          <w:b/>
          <w:bCs/>
          <w:szCs w:val="21"/>
        </w:rPr>
      </w:pPr>
      <w:r>
        <w:rPr>
          <w:rFonts w:hint="default" w:ascii="Arial" w:hAnsi="Arial" w:cs="Arial"/>
          <w:b/>
          <w:bCs/>
          <w:szCs w:val="21"/>
        </w:rPr>
        <w:t>各片区及门店</w:t>
      </w:r>
      <w:r>
        <w:rPr>
          <w:rFonts w:hint="eastAsia" w:ascii="Arial" w:hAnsi="Arial" w:cs="Arial"/>
          <w:b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outlineLvl w:val="9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5月“闪电战”活动，门店聚人气、增销售、员工挣奖金，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共57家门店，开展625场、客流环比增幅4.1%、销售环比增幅5.577%，毛利增长5.5万。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default" w:ascii="Arial" w:hAnsi="Arial" w:cs="Arial"/>
          <w:b/>
          <w:bCs/>
          <w:color w:val="auto"/>
          <w:szCs w:val="21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5月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活动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场次“前三名”：</w:t>
      </w:r>
    </w:p>
    <w:tbl>
      <w:tblPr>
        <w:tblStyle w:val="2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22"/>
        <w:gridCol w:w="825"/>
        <w:gridCol w:w="990"/>
        <w:gridCol w:w="1088"/>
        <w:gridCol w:w="1050"/>
        <w:gridCol w:w="930"/>
        <w:gridCol w:w="1155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环比数据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环比增幅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凤凰大道药店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23162.8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17547.6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闪电战神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水碾河店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37252.1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59.01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14.53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闪电战神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华泰二店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56017.5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34.27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18.42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闪电战神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5月销售、客流增幅共17家门店达标，超毛奖励 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共 2206元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，明细如下：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drawing>
          <wp:inline distT="0" distB="0" distL="114300" distR="114300">
            <wp:extent cx="5270500" cy="3140710"/>
            <wp:effectExtent l="0" t="0" r="6350" b="2540"/>
            <wp:docPr id="1" name="图片 1" descr="D8EC4D8D-C8D5-40d3-8A15-196260126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EC4D8D-C8D5-40d3-8A15-1962601261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eastAsia="zh-CN"/>
        </w:rPr>
        <w:t>三、“闪电战”奖励政策如下：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任务目标：</w:t>
      </w:r>
      <w:r>
        <w:rPr>
          <w:rFonts w:hint="eastAsia"/>
          <w:b/>
          <w:bCs/>
          <w:color w:val="FF0000"/>
          <w:lang w:val="en-US" w:eastAsia="zh-CN"/>
        </w:rPr>
        <w:t>环比上月日均</w:t>
      </w:r>
      <w:r>
        <w:rPr>
          <w:rFonts w:hint="eastAsia"/>
          <w:b/>
          <w:bCs/>
          <w:color w:val="auto"/>
          <w:lang w:val="en-US" w:eastAsia="zh-CN"/>
        </w:rPr>
        <w:t>销售增幅40%-100%、</w:t>
      </w:r>
      <w:r>
        <w:rPr>
          <w:rFonts w:hint="eastAsia"/>
          <w:b/>
          <w:bCs/>
          <w:color w:val="FF0000"/>
          <w:lang w:val="en-US" w:eastAsia="zh-CN"/>
        </w:rPr>
        <w:t>客流不下降</w:t>
      </w:r>
      <w:r>
        <w:rPr>
          <w:rFonts w:hint="eastAsia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（1）奖励：</w:t>
      </w:r>
    </w:p>
    <w:tbl>
      <w:tblPr>
        <w:tblStyle w:val="3"/>
        <w:tblW w:w="8979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15"/>
        <w:gridCol w:w="1536"/>
        <w:gridCol w:w="1536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活动销售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增幅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超毛奖励比例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场次达标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（按计划场次）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客流不下降、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销售达标、按超日均毛利额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奖励10%~30%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B类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 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80%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  <w:tc>
          <w:tcPr>
            <w:tcW w:w="2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处罚：当月活动场次未达标，处罚50元/场。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【闪电战  活动期间须完成事项】：</w:t>
      </w:r>
    </w:p>
    <w:tbl>
      <w:tblPr>
        <w:tblStyle w:val="2"/>
        <w:tblW w:w="9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1、根据计划表时间，提前1周进行品种备货。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—— 店长完成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2、人员安排：至少1人进行DM单发放、引客、销售；1人戴小蜜蜂进行外摆商品区域“吆喝”宣传、销售；收银台1人边收银边进行收银台换购商品销售；卖场销售。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——片长督促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3、活动开始前30分钟进行店外氛围布置、商品陈列外摆、喇叭、语音播放。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 全员完成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拍摄活动现场照片不少于5张，《现场氛围照片、团队士气加油照片》、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门店分享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至片区钉钉群、四川大群；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1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片长须转发至后勤群、营运部群  —— 片长完成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5、每晚报销售数据：限时抢购活动数据发至片区群，进行活动总结优、缺点（50字以内）。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—— 店长完成                        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片长转发至后勤群、营运部群  —— 片长完成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6、片区每晚排名后三名门店须查看活动门店数据及总结。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——片长督促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7、活动数据统计：活动当天需《填写数据情况表》，拍照上传至钉钉。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——店长完成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8、每天进行前一天“闪电战果”通报，每周一制作闪电战花絮。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——营运部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主题词：关于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>20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22年    5月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闪电战活动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通报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</w:p>
    <w:p>
      <w:pPr>
        <w:pStyle w:val="5"/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>四川太极大药房连锁有限公司                   20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16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日印发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sz w:val="24"/>
          <w:szCs w:val="24"/>
          <w:u w:val="none"/>
        </w:rPr>
        <w:t xml:space="preserve">   </w:t>
      </w:r>
    </w:p>
    <w:p>
      <w:r>
        <w:rPr>
          <w:rFonts w:hint="default" w:ascii="Arial" w:hAnsi="Arial" w:cs="Arial"/>
          <w:b/>
          <w:bCs/>
          <w:sz w:val="24"/>
          <w:szCs w:val="24"/>
        </w:rPr>
        <w:t>打印：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王四维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</w:t>
      </w: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Arial" w:hAnsi="Arial" w:cs="Arial"/>
          <w:b/>
          <w:bCs/>
          <w:sz w:val="24"/>
          <w:szCs w:val="24"/>
        </w:rPr>
        <w:t>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（共印1份）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3EF69"/>
    <w:multiLevelType w:val="singleLevel"/>
    <w:tmpl w:val="9C93EF6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8CED60E"/>
    <w:multiLevelType w:val="singleLevel"/>
    <w:tmpl w:val="A8CED60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5C2C6D1"/>
    <w:multiLevelType w:val="singleLevel"/>
    <w:tmpl w:val="55C2C6D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6EF5DE4"/>
    <w:multiLevelType w:val="singleLevel"/>
    <w:tmpl w:val="56EF5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524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2022-06-13T12:17:14Z</dcterms:created>
  <dc:creator>Administrator</dc:creator>
  <cp:lastModifiedBy>大山xxx-</cp:lastModifiedBy>
  <dcterms:modified xsi:type="dcterms:W3CDTF">2022-06-13T12:24:20Z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DF558E0D51284B7E9CAC588D7C32ADF9</vt:lpwstr>
  </property>
</Properties>
</file>