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2022年11月“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2022年11月1日-10月30日晚上21:00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  <w:drawing>
          <wp:inline distT="0" distB="0" distL="114300" distR="114300">
            <wp:extent cx="2313305" cy="4213225"/>
            <wp:effectExtent l="0" t="0" r="10795" b="15875"/>
            <wp:docPr id="2" name="图片 2" descr="IMG_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例：旗舰店11月1日企业微信群人数1600人，11月企业微信群拉新任务30人，11月30日企业微信群人数实际1800人，该店奖励为（1800-1600-30）*3=510元。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旗舰店11月1日企业微信群人数1600人，11月企业微信群拉新任务30人，11月30日企业微信群人数实际1580人，该店需上交成长金为1600-1580+30）*1=50元。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  <w:t>（2）连续2个月后台拉新为“0”的门店成长金缴纳需翻倍。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2022年11月8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0A6352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377810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092B01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B477F6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1225</Characters>
  <Lines>0</Lines>
  <Paragraphs>0</Paragraphs>
  <TotalTime>28</TotalTime>
  <ScaleCrop>false</ScaleCrop>
  <LinksUpToDate>false</LinksUpToDate>
  <CharactersWithSpaces>1319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gigioo</cp:lastModifiedBy>
  <cp:lastPrinted>2021-02-25T13:44:00Z</cp:lastPrinted>
  <dcterms:modified xsi:type="dcterms:W3CDTF">2022-11-08T03:59:48Z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70EB92BD54EC42D28C1035D08127DBB6</vt:lpwstr>
  </property>
</Properties>
</file>