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eastAsia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营运部发〔20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号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签发人：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谭莉杨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/>
          <w:sz w:val="36"/>
          <w:szCs w:val="44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11月品牌月活动方案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left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一、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活动时间：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2022年11月1日~2022年11月31日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br w:type="textWrapping"/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二、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活动门店：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所有门店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三、活动品种：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绵阳系列、惠氏系列、鲁南系列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br w:type="textWrapping"/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四、活动任务及奖励政策</w:t>
      </w:r>
    </w:p>
    <w:tbl>
      <w:tblPr>
        <w:tblStyle w:val="3"/>
        <w:tblW w:w="9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9"/>
        <w:gridCol w:w="1710"/>
        <w:gridCol w:w="1785"/>
        <w:gridCol w:w="196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  <w:t>绵阳系列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  <w:t>惠氏系列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  <w:t>鲁南系列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  <w:t>基础目标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基础目标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  <w:t>挑战目标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  <w:t>销售任务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任务目标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68万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80万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100万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30万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任务完成奖励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门店pk赛排名奖励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追加销售额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1%提成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追加销售额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1.5%提成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追加销售额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1%提成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未完成任务处罚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无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按差额2%进行处罚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9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门店完成任务，全员取消处罚，门店完成任务可享受追加奖励</w:t>
            </w:r>
          </w:p>
        </w:tc>
      </w:tr>
    </w:tbl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default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五、品种活动内容及奖励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1、品种活动及单品奖励政策</w:t>
      </w:r>
    </w:p>
    <w:tbl>
      <w:tblPr>
        <w:tblStyle w:val="3"/>
        <w:tblpPr w:leftFromText="180" w:rightFromText="180" w:vertAnchor="text" w:horzAnchor="page" w:tblpX="871" w:tblpY="630"/>
        <w:tblOverlap w:val="never"/>
        <w:tblW w:w="10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00"/>
        <w:gridCol w:w="2234"/>
        <w:gridCol w:w="1831"/>
        <w:gridCol w:w="1661"/>
        <w:gridCol w:w="1821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太极执行活动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鲁南系列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235955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奥利司他胶囊OTC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120mg*6粒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235956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奥利司他胶囊OTC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120mg*24粒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168283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安神补脑液OTC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205309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首荟通便胶囊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03.5g*12粒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买一得二（赠品厂家出）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20元/盒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惠氏系列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163749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钙尔奇氨糖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64+28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保健品买一赠一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158603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善存儿童FOOD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80粒</w:t>
            </w:r>
          </w:p>
        </w:tc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176958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维D维K软胶囊166粒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166粒</w:t>
            </w:r>
          </w:p>
        </w:tc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238734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男钙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70粒</w:t>
            </w:r>
          </w:p>
        </w:tc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238702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女钙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70粒</w:t>
            </w:r>
          </w:p>
        </w:tc>
        <w:tc>
          <w:tcPr>
            <w:tcW w:w="1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137250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100片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保健品买一赠一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201264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善存家庭装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91*2</w:t>
            </w:r>
          </w:p>
        </w:tc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201495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善存银家庭装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91*2</w:t>
            </w:r>
          </w:p>
        </w:tc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2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131284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多维元素片(23)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60片</w:t>
            </w:r>
          </w:p>
        </w:tc>
        <w:tc>
          <w:tcPr>
            <w:tcW w:w="1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绵阳系列所有品种、各系列其余品种按毛利段进行提成，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FF0000"/>
                <w:spacing w:val="0"/>
                <w:w w:val="100"/>
                <w:sz w:val="18"/>
                <w:szCs w:val="18"/>
                <w:highlight w:val="none"/>
                <w:lang w:eastAsia="zh-CN"/>
              </w:rPr>
              <w:t>品种详细清单详见附表一</w:t>
            </w:r>
          </w:p>
        </w:tc>
      </w:tr>
    </w:tbl>
    <w:p>
      <w:pPr>
        <w:tabs>
          <w:tab w:val="left" w:pos="312"/>
        </w:tabs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bCs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、绵阳系列</w:t>
      </w:r>
      <w:r>
        <w:rPr>
          <w:rFonts w:ascii="宋体" w:hAnsi="宋体" w:eastAsia="宋体" w:cs="宋体"/>
          <w:b/>
          <w:bCs/>
          <w:color w:val="auto"/>
          <w:spacing w:val="0"/>
          <w:position w:val="0"/>
          <w:sz w:val="28"/>
          <w:shd w:val="clear" w:fill="auto"/>
        </w:rPr>
        <w:t>全品种销售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hd w:val="clear" w:fill="auto"/>
          <w:lang w:val="en-US" w:eastAsia="zh-CN"/>
        </w:rPr>
        <w:t>pk赛</w:t>
      </w:r>
      <w:r>
        <w:rPr>
          <w:rFonts w:ascii="宋体" w:hAnsi="宋体" w:eastAsia="宋体" w:cs="宋体"/>
          <w:b/>
          <w:bCs/>
          <w:color w:val="auto"/>
          <w:spacing w:val="0"/>
          <w:position w:val="0"/>
          <w:sz w:val="28"/>
          <w:shd w:val="clear" w:fill="auto"/>
        </w:rPr>
        <w:t>：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eastAsia="zh-CN"/>
        </w:rPr>
        <w:t>门店PK: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  <w:t>门店进行分组，组内销售PK。完成基础任务量即可参与排名，按门店销售增长额和销售增长率两项综合排名，获得组内前1-4名门店即可获奖。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FF"/>
          <w:sz w:val="22"/>
          <w:szCs w:val="22"/>
          <w:lang w:eastAsia="zh-CN"/>
        </w:rPr>
        <w:t>门店任务及分组详见附表。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 w:firstLine="44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  <w:t>1)参与评比条件:按销售太极绵阳系列品种总金额进行评比，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FF"/>
          <w:sz w:val="22"/>
          <w:szCs w:val="22"/>
          <w:lang w:eastAsia="zh-CN"/>
        </w:rPr>
        <w:t>品种明细见附表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 w:firstLine="44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  <w:t>2)分组:参照同比销售金额，定出本次活动基数，并将门店分为18个组进行比拼。(分组及任务基数见附表)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 w:firstLine="44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  <w:t>3)门店奖励:每组设立1-4个名额不等的奖项，进行分组奖励，根据每组任务的不同设置的奖励金额不同，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FF"/>
          <w:sz w:val="22"/>
          <w:szCs w:val="22"/>
          <w:lang w:eastAsia="zh-CN"/>
        </w:rPr>
        <w:t>祥见附表，最高奖励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FF"/>
          <w:sz w:val="22"/>
          <w:szCs w:val="22"/>
          <w:lang w:val="en-US" w:eastAsia="zh-CN"/>
        </w:rPr>
        <w:t>1200元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  <w:t>。(按 18组算)。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vertAlign w:val="baseli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  <w:t>4)片长奖励: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片区总量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完成任务奖励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完成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1-3名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600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4-6名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400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7-10名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300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</w:tr>
    </w:tbl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</w:pP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eastAsia="zh-CN"/>
        </w:rPr>
        <w:t>说明:以上奖励在次月店长会上发放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七：</w:t>
      </w:r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8"/>
          <w:szCs w:val="28"/>
          <w:lang w:val="en-US" w:eastAsia="zh-CN"/>
        </w:rPr>
        <w:t>各店</w:t>
      </w:r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8"/>
          <w:szCs w:val="28"/>
          <w:lang w:eastAsia="zh-CN"/>
        </w:rPr>
        <w:t>任务详见附表，请店长将任务分配到店员头上，交接班通报</w:t>
      </w:r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FF0000"/>
          <w:sz w:val="28"/>
          <w:szCs w:val="28"/>
          <w:lang w:eastAsia="zh-CN"/>
        </w:rPr>
        <w:t>八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：陈列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1、单品活动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配活动插卡，请陈列在所属货品处，货品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8"/>
          <w:szCs w:val="28"/>
          <w:lang w:val="en-US" w:eastAsia="zh-CN"/>
        </w:rPr>
        <w:t>陈列在货架前两层不低于2个面。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2、吊旗及pop到店后按陈列标准于收货当日完成陈列。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br w:type="textWrapping"/>
      </w:r>
      <w:r>
        <w:rPr>
          <w:rStyle w:val="7"/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highlight w:val="yellow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品牌月活动方案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四川太极大药房连锁有限公司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刘美玲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核对：谭莉杨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（共印1份）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highlight w:val="yellow"/>
        </w:rPr>
      </w:pP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ind w:firstLine="1260" w:firstLineChars="60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zM1ZTg3MDk5NGZkYTE3NmExNTM0YzA3MDNlOGUifQ=="/>
  </w:docVars>
  <w:rsids>
    <w:rsidRoot w:val="00000000"/>
    <w:rsid w:val="04715F23"/>
    <w:rsid w:val="06933D53"/>
    <w:rsid w:val="0ACB257E"/>
    <w:rsid w:val="13902198"/>
    <w:rsid w:val="17291CFC"/>
    <w:rsid w:val="20051462"/>
    <w:rsid w:val="210963B5"/>
    <w:rsid w:val="21BA320B"/>
    <w:rsid w:val="31132938"/>
    <w:rsid w:val="33C817B8"/>
    <w:rsid w:val="33D11246"/>
    <w:rsid w:val="38BB5C48"/>
    <w:rsid w:val="3A3914BB"/>
    <w:rsid w:val="3AE60768"/>
    <w:rsid w:val="3B557A91"/>
    <w:rsid w:val="3CD4730F"/>
    <w:rsid w:val="416C5E78"/>
    <w:rsid w:val="423C28DF"/>
    <w:rsid w:val="4BFE6021"/>
    <w:rsid w:val="4D7F5185"/>
    <w:rsid w:val="4E761085"/>
    <w:rsid w:val="50813364"/>
    <w:rsid w:val="537D5CC3"/>
    <w:rsid w:val="544661DA"/>
    <w:rsid w:val="54E47ED0"/>
    <w:rsid w:val="55175CA3"/>
    <w:rsid w:val="61E200A5"/>
    <w:rsid w:val="63931953"/>
    <w:rsid w:val="64F47DAF"/>
    <w:rsid w:val="66F93E1B"/>
    <w:rsid w:val="7B857B7A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7">
    <w:name w:val="NormalCharacter"/>
    <w:qFormat/>
    <w:uiPriority w:val="0"/>
  </w:style>
  <w:style w:type="character" w:customStyle="1" w:styleId="8">
    <w:name w:val="font21"/>
    <w:basedOn w:val="5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5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default" w:ascii="Helvetica" w:hAnsi="Helvetica" w:eastAsia="Helvetica" w:cs="Helvetica"/>
      <w:color w:val="000000"/>
      <w:sz w:val="21"/>
      <w:szCs w:val="21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12"/>
    <w:basedOn w:val="5"/>
    <w:qFormat/>
    <w:uiPriority w:val="0"/>
    <w:rPr>
      <w:rFonts w:hint="eastAsia" w:ascii="宋体" w:hAnsi="宋体" w:eastAsia="宋体" w:cs="宋体"/>
      <w:color w:val="0070C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1180</Characters>
  <Lines>0</Lines>
  <Paragraphs>0</Paragraphs>
  <TotalTime>53</TotalTime>
  <ScaleCrop>false</ScaleCrop>
  <LinksUpToDate>false</LinksUpToDate>
  <CharactersWithSpaces>1331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2022-10-31T02:32:56Z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AA0859973812477FAA92CE28C6C97CF6</vt:lpwstr>
  </property>
</Properties>
</file>