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关于新员工分班学习的通知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各门店新员工：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为了激发新员工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的学习积极性，提高自身专业素养，</w:t>
      </w:r>
      <w:r>
        <w:rPr>
          <w:rFonts w:hint="eastAsia"/>
          <w:sz w:val="28"/>
          <w:szCs w:val="28"/>
          <w:lang w:val="en-US" w:eastAsia="zh-CN"/>
        </w:rPr>
        <w:t>夯实药品专业知识、掌握疾病解决方案，同时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确保学习质量，不断提升学习效果，现将公司新员工分为2个班级，并每周进行班级间、组与组之间的PK，现将学习细则以通知形式下发，请各位伙伴认真查阅，并严格遵照执行。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2021年7月26日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学习积分评定实施细则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为了激发新员工的学习积极性，提高自身专业素养，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夯实药品专业知识、掌握疾病解决方案，同时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确保学习质量，不断提升学习效果，现将公司新员工分为2个班级，并每周进行班与班之间、组与组之间的PK，现将结合公司实际情况制定如下学习积分评定细则：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评定原则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客观公正，公平公开，强力执行，务求实效。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班委组织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新员工学习一班：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班长：  黎潞    副班长：曾宣悦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组长： 第一组：陈思露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第二组：陈慧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第三组：瓦其小宁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第四组：肖肖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第五组：张平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第六组：钟婉婷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第七组：邓正良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新员工学习二班：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班长：  肖函    副班长：杨路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组长： 第一组：薄壮雨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第二组：陈政达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第三组：王茂兰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第四组：陈霜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第五组：李涓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班委职责：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组织工作：制定出班级或小组的学习计划及学习制度，对班级或小组工作认真分工，让班级成员各司其职。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调工作：班委要学会做好班上同学的思想工作，调节好班上同学的关系，了解班上同学的特点，充分发挥班上同学的聪明才智、能力特长。调动大家的积极性，发挥桥梁作用，协助公司领导完成学习任务，积极组织各位同学参与良性竞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示范工作：班委与每个成员之间是平等互助的关系，不享有特权，各项规章制度，班委要严格遵守，起好带头作用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监辅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工作：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班委</w:t>
      </w:r>
      <w:r>
        <w:rPr>
          <w:rFonts w:hint="eastAsia" w:ascii="宋体" w:hAnsi="宋体" w:eastAsia="宋体" w:cs="宋体"/>
          <w:sz w:val="28"/>
          <w:szCs w:val="28"/>
        </w:rPr>
        <w:t>要组织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班上同学</w:t>
      </w:r>
      <w:r>
        <w:rPr>
          <w:rFonts w:hint="eastAsia" w:ascii="宋体" w:hAnsi="宋体" w:eastAsia="宋体" w:cs="宋体"/>
          <w:sz w:val="28"/>
          <w:szCs w:val="28"/>
        </w:rPr>
        <w:t>相互监督各项制度的遵守情况和各项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sz w:val="28"/>
          <w:szCs w:val="28"/>
        </w:rPr>
        <w:t>的完成情况，组织组内帮扶辅导，互帮互助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要督促同伴改正错误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协助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工作：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班委</w:t>
      </w:r>
      <w:r>
        <w:rPr>
          <w:rFonts w:hint="eastAsia" w:ascii="宋体" w:hAnsi="宋体" w:eastAsia="宋体" w:cs="宋体"/>
          <w:sz w:val="28"/>
          <w:szCs w:val="28"/>
        </w:rPr>
        <w:t>要协助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公司领导</w:t>
      </w:r>
      <w:r>
        <w:rPr>
          <w:rFonts w:hint="eastAsia" w:ascii="宋体" w:hAnsi="宋体" w:eastAsia="宋体" w:cs="宋体"/>
          <w:sz w:val="28"/>
          <w:szCs w:val="28"/>
        </w:rPr>
        <w:t>完成一些力所能及的日常工作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反馈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工作：</w:t>
      </w:r>
      <w:r>
        <w:rPr>
          <w:rFonts w:hint="eastAsia" w:ascii="宋体" w:hAnsi="宋体" w:eastAsia="宋体" w:cs="宋体"/>
          <w:sz w:val="28"/>
          <w:szCs w:val="28"/>
        </w:rPr>
        <w:t>定期检查或随时抽查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班上同学</w:t>
      </w:r>
      <w:r>
        <w:rPr>
          <w:rFonts w:hint="eastAsia" w:ascii="宋体" w:hAnsi="宋体" w:eastAsia="宋体" w:cs="宋体"/>
          <w:sz w:val="28"/>
          <w:szCs w:val="28"/>
        </w:rPr>
        <w:t>的学习情况，作好学习记录，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班委</w:t>
      </w:r>
      <w:r>
        <w:rPr>
          <w:rFonts w:hint="eastAsia" w:ascii="宋体" w:hAnsi="宋体" w:eastAsia="宋体" w:cs="宋体"/>
          <w:sz w:val="28"/>
          <w:szCs w:val="28"/>
        </w:rPr>
        <w:t>要及时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向公司领导</w:t>
      </w:r>
      <w:r>
        <w:rPr>
          <w:rFonts w:hint="eastAsia" w:ascii="宋体" w:hAnsi="宋体" w:eastAsia="宋体" w:cs="宋体"/>
          <w:sz w:val="28"/>
          <w:szCs w:val="28"/>
        </w:rPr>
        <w:t>汇报本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班同学</w:t>
      </w:r>
      <w:r>
        <w:rPr>
          <w:rFonts w:hint="eastAsia" w:ascii="宋体" w:hAnsi="宋体" w:eastAsia="宋体" w:cs="宋体"/>
          <w:sz w:val="28"/>
          <w:szCs w:val="28"/>
        </w:rPr>
        <w:t>的学习和思想等方面的情况，主动向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公司领导</w:t>
      </w:r>
      <w:r>
        <w:rPr>
          <w:rFonts w:hint="eastAsia" w:ascii="宋体" w:hAnsi="宋体" w:eastAsia="宋体" w:cs="宋体"/>
          <w:sz w:val="28"/>
          <w:szCs w:val="28"/>
        </w:rPr>
        <w:t>了解本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成员的学习等情况或工作建议，要把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公司领导</w:t>
      </w:r>
      <w:r>
        <w:rPr>
          <w:rFonts w:hint="eastAsia" w:ascii="宋体" w:hAnsi="宋体" w:eastAsia="宋体" w:cs="宋体"/>
          <w:sz w:val="28"/>
          <w:szCs w:val="28"/>
        </w:rPr>
        <w:t>提出的需要完成的内容或精神准确及时地反馈给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班上</w:t>
      </w:r>
      <w:r>
        <w:rPr>
          <w:rFonts w:hint="eastAsia" w:ascii="宋体" w:hAnsi="宋体" w:eastAsia="宋体" w:cs="宋体"/>
          <w:sz w:val="28"/>
          <w:szCs w:val="28"/>
        </w:rPr>
        <w:t>的每一个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，并组织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班上</w:t>
      </w:r>
      <w:r>
        <w:rPr>
          <w:rFonts w:hint="eastAsia" w:ascii="宋体" w:hAnsi="宋体" w:eastAsia="宋体" w:cs="宋体"/>
          <w:sz w:val="28"/>
          <w:szCs w:val="28"/>
        </w:rPr>
        <w:t>成员开始实施;加强与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班上同学</w:t>
      </w:r>
      <w:r>
        <w:rPr>
          <w:rFonts w:hint="eastAsia" w:ascii="宋体" w:hAnsi="宋体" w:eastAsia="宋体" w:cs="宋体"/>
          <w:sz w:val="28"/>
          <w:szCs w:val="28"/>
        </w:rPr>
        <w:t>的沟通，及时把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同学的</w:t>
      </w:r>
      <w:r>
        <w:rPr>
          <w:rFonts w:hint="eastAsia" w:ascii="宋体" w:hAnsi="宋体" w:eastAsia="宋体" w:cs="宋体"/>
          <w:sz w:val="28"/>
          <w:szCs w:val="28"/>
        </w:rPr>
        <w:t>学习等情况反馈给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公司领导</w:t>
      </w:r>
      <w:r>
        <w:rPr>
          <w:rFonts w:hint="eastAsia" w:ascii="宋体" w:hAnsi="宋体" w:eastAsia="宋体" w:cs="宋体"/>
          <w:sz w:val="28"/>
          <w:szCs w:val="28"/>
        </w:rPr>
        <w:t>，便利于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公司领导</w:t>
      </w:r>
      <w:r>
        <w:rPr>
          <w:rFonts w:hint="eastAsia" w:ascii="宋体" w:hAnsi="宋体" w:eastAsia="宋体" w:cs="宋体"/>
          <w:sz w:val="28"/>
          <w:szCs w:val="28"/>
        </w:rPr>
        <w:t>作出调整安排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统筹、协调，关注班上同学的学习情况及积分成绩统计分析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组长：协助班长开展各项工作。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每周统计积分，并在在群内公布成绩。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制定学习积分排名。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监督组内成员在学习群内的反馈。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参与评选本班的学习之星。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三、评定对象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四川太极大药房连锁有限公司参加7月入职培训的所有新员工。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四、评定要求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（一）对学习积分加分、扣分情况实行组长实时登记填写“学习积分统计表”（见附件3)，每周通知提醒。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（二）对学习积分评定情况实行每周通报。每周末由组长统计汇总每名组员学习积分，发给班长由班长统一发放在钉钉群内公示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（三）制定学习积分标准，严格执行。对在学习积分评定过程中，严禁弄虚作假、包庇舞弊者，一经查实，公司将给予当事人惩罚，并通报批评！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（四）学习积分将作为实习生提前转正、“评优”的参考数据。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（五）学习积分评定不是终极目标，规范新员工学习行为，提升新员工综合素养才是根本。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（六）本细则自 2021年7月 27日起执行。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（七）本细则解释权归公司在加分、扣分过程中，特别是对被扣分的当事人，班长、组长必须认真核实。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四川太极大药房连锁有限公司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四川太极大药房连锁有限公司学习积分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0"/>
        <w:gridCol w:w="169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考核事项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每天晒学习笔记(当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学习的疾病知识或产品知识)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奖励2分；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凭晒到学习群内的笔记照片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未按时完成各APP上发布的任务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扣除5分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每天晒瑞学拿药练习视频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奖励2分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凭晒到学习群内的拿药练习视频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积极参加公司组织的各种线上培训，考试成绩达到80分以上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奖励5分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凭考试成绩截图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瑞学重点商品学习每周达到500积分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奖励 2 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凭上周积分截图和本周积分截图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参加直播课堂积极回答老师的问题（前三）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奖励 2分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线下学习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参加面授课积极回答老师提出的问题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奖励  2分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当堂课或培训结束后报告给各组组长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积极参加公司组织的各种线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培训，考试成绩达到80分以上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奖励 5 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凭考试成绩截图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积极参加其他学习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奖励5分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凭参加学习图片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备注：各种学习截图请发送到各片区钉钉群及2021新员工学习一班/二班，组长以分享在学习群里面的截图为学分统计依据。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学习积分统计表（组长）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班级：               小组：                 日期： 年 月 日 —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7"/>
        <w:gridCol w:w="1222"/>
        <w:gridCol w:w="1240"/>
        <w:gridCol w:w="1220"/>
        <w:gridCol w:w="1110"/>
        <w:gridCol w:w="94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学习笔记</w:t>
            </w: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拿药练习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瑞学产品知识学习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APP任务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线上考试</w:t>
            </w: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线下学习</w:t>
            </w: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XX（组长）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学习积分统计表（班长）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班级：                                      日期： 年 月 日 — 年 月 日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48"/>
        <w:gridCol w:w="1440"/>
        <w:gridCol w:w="1305"/>
        <w:gridCol w:w="124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平均分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最高分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最高分学员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最低分学员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第五组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第六组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学习积分统计表（班长）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日期： 年 月 日 — 年 月 日</w:t>
      </w:r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620"/>
        <w:gridCol w:w="1485"/>
        <w:gridCol w:w="15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班级平均分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班内最高分学员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班级排名后3名学员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新员工学习一班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新员工学习二班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新员工学习积分奖惩机制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每月学习积分前5名可获得公司颁出的“优秀学员”称号。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每周学习积分第一名可获公司颁出“学习之星”称号。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公司将学习积分成绩作为提前转正的参考指标。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公司将学习综合情况作为年底评选优秀实习生的参考指标。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惩罚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学习积分连续3个月排名在本班级后3名，公司将提前解除实习协议，并在全公司通报批评，退回学校。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学习积分连续2个月排名在本班级后3名，公司暂停提供实习补贴，并在全公司通报批评。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A64F9"/>
    <w:multiLevelType w:val="singleLevel"/>
    <w:tmpl w:val="9B2A64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1CACE4"/>
    <w:multiLevelType w:val="singleLevel"/>
    <w:tmpl w:val="DA1CAC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4491410"/>
    <w:multiLevelType w:val="singleLevel"/>
    <w:tmpl w:val="E449141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840EB9B"/>
    <w:multiLevelType w:val="singleLevel"/>
    <w:tmpl w:val="E840EB9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08C60B9"/>
    <w:multiLevelType w:val="singleLevel"/>
    <w:tmpl w:val="508C6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7513"/>
    <w:rsid w:val="1E1C34C3"/>
    <w:rsid w:val="1F2C3373"/>
    <w:rsid w:val="2649683D"/>
    <w:rsid w:val="36590F77"/>
    <w:rsid w:val="4C784E6A"/>
    <w:rsid w:val="63546961"/>
    <w:rsid w:val="772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2021-07-26T06:37:00Z</dcterms:created>
  <dc:creator>Administrator</dc:creator>
  <cp:lastModifiedBy>张蓉</cp:lastModifiedBy>
  <dcterms:modified xsi:type="dcterms:W3CDTF">2021-07-26T11:19:41Z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380DC6946EC24CBA925EFAC5D21A05A7</vt:lpwstr>
  </property>
</Properties>
</file>