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highlight w:val="yellow"/>
          <w:lang w:eastAsia="zh-CN"/>
        </w:rPr>
      </w:pPr>
      <w:r>
        <w:rPr>
          <w:rFonts w:hint="eastAsia"/>
          <w:sz w:val="32"/>
          <w:szCs w:val="32"/>
          <w:highlight w:val="yellow"/>
          <w:lang w:eastAsia="zh-CN"/>
        </w:rPr>
        <w:t>提毛活动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关于开展“教你如何卖低毛”活动通知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各部门及门店：</w:t>
      </w:r>
    </w:p>
    <w:p>
      <w:p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面对处方外流、集采降价、价格竞争白日化，门店毛利率波动巨大。针对门店销售的低毛利品种，我们将如何主动采取应对之法呢？每周将由商品部发起，联合营运、采购、慢病、培训一同打造“教你如何卖低毛”活动。具体内容如下：</w:t>
      </w:r>
    </w:p>
    <w:p>
      <w:pPr>
        <w:numPr>
          <w:ilvl w:val="0"/>
          <w:numId w:val="1"/>
        </w:numPr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每周由商品部筛选目标门店中对毛利率影响最大的10~20个品种。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将以上品种做为案例品种，由营采商给出逐步解决方案。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方案中涉及营采商需解决工作，及时给予解决。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商品部同步将解决方案中涉及合约计划及培训要求的，提供到慢病部及培训部，设置相应工作计划。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门店收到每期内容后，店长需组织店员学习及熟记，并按照每步操作执行。并由营运部负责考核门店（安排在每日十题里）。</w:t>
      </w:r>
    </w:p>
    <w:p>
      <w:pPr>
        <w:numPr>
          <w:ilvl w:val="0"/>
          <w:numId w:val="1"/>
        </w:numPr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此活动自本通知下发之日起执行，有任何不清楚的地方请咨询商品部。</w:t>
      </w:r>
    </w:p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商品部</w:t>
      </w:r>
    </w:p>
    <w:p>
      <w:pPr>
        <w:numPr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二零二一年三月三十一日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BD0DD0"/>
    <w:multiLevelType w:val="singleLevel"/>
    <w:tmpl w:val="D1BD0D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1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2021-03-31T09:50:12Z</dcterms:created>
  <dc:creator>wj</dc:creator>
  <cp:lastModifiedBy>何莉莎</cp:lastModifiedBy>
  <dcterms:modified xsi:type="dcterms:W3CDTF">2021-03-31T10:15:46Z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