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逸都路店未凭处方销售处方药处罚通报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一、逸都路店处方药销售被检查及监管处罚情况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2021年2月22日武侯区红牌楼市场监管所对逸都路店进行了现场检查，检查出2020年12月1日到2021年2月22日销售地奥心血康14笔，均未开具处方。红牌楼监管所书面责令门店限期整改，在2021年3月4日前补齐处方，要求处方药必须开具处方并经执业药师审核后才能销售，门店要加强处方药销售管理相关法规的学习，对门店给予了“警告”行政处罚决定。如果再次检查到未凭处方销售处方药，将进行罚款处罚。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  <w:lang w:val="en-US" w:eastAsia="zh-CN"/>
        </w:rPr>
        <w:t>二、公司对逸都路店相关人员的处罚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逸都路店连续近三个月销售地奥心血康都未开具处方，被监管部门处罚，给公司造成了较大的负面影响，为此对门店相关人员处罚如下：店长处罚100元，正式员工处罚50元/人，实行生处罚30元/人。请以上人员将罚款在3月10日前交到公司财务部。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三、逸都路店整改要求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1、对照销售明细，在3月4日前逐笔补齐地奥心血康处方。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2、请店长组织全体店员学习“公司[2017]11号 关于加强处方药销售管理、规范处方审核及远程电子处方使用的通知”，公司制定的“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处方药销售管理制度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”，并做好培训记录。</w:t>
      </w:r>
    </w:p>
    <w:p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四、所有门店自查整改处方药合规销售情况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请所有门店引以为戒，规避类似情况发生。近期各级监管部门都在检查处方药的销售情况，未开具处方销售处方药的，将给予警告、罚款的处罚。请各门店务必按以下要求做好处方药合规销售。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1、处方药必须开具处方并经执业药师审核后才能销售。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2、血液制品必须收集纸质处方并经执业药师审核后才能销售。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3、慢特病处方药销售，严格按照慢特部的相关要求，建立健全慢病档案、开具首次购药处方、详细做好每次购药记录。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4、重点自查2021年1月1日到现在的含麻制剂、止咳退烧药、血液制品、冷链药品、抗抑郁抗癫痫类处方药有没有开具或收集处方，没有处方的请补齐处方。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5、所有人员必须熟悉电子处方的查询方法：近一个月的电子处方可以在富顿处方机上查询；历史电子处方查询：谷歌或IE9浏览器https://gophar.cdfortis.com/csm/ ，用门店富顿账号、密码登录查询。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6440" w:firstLineChars="23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质管部</w:t>
      </w:r>
    </w:p>
    <w:p>
      <w:pPr>
        <w:ind w:firstLine="6160" w:firstLineChars="2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2021年2月25日</w:t>
      </w: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4D07"/>
    <w:rsid w:val="09376D4D"/>
    <w:rsid w:val="09472BFB"/>
    <w:rsid w:val="09AA78A2"/>
    <w:rsid w:val="11AF3FF0"/>
    <w:rsid w:val="156E375D"/>
    <w:rsid w:val="15B92F9F"/>
    <w:rsid w:val="1AB76A2A"/>
    <w:rsid w:val="1F59567E"/>
    <w:rsid w:val="2CD94CF3"/>
    <w:rsid w:val="30725046"/>
    <w:rsid w:val="30884664"/>
    <w:rsid w:val="44493AD0"/>
    <w:rsid w:val="468955B7"/>
    <w:rsid w:val="49824294"/>
    <w:rsid w:val="4BF7000D"/>
    <w:rsid w:val="4DF01A60"/>
    <w:rsid w:val="4E850A0D"/>
    <w:rsid w:val="4F8C76AA"/>
    <w:rsid w:val="52E45F52"/>
    <w:rsid w:val="56AE06A5"/>
    <w:rsid w:val="5964702B"/>
    <w:rsid w:val="60D8661A"/>
    <w:rsid w:val="63FA672E"/>
    <w:rsid w:val="642D18EE"/>
    <w:rsid w:val="75F333F5"/>
    <w:rsid w:val="76D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2021-02-25T02:38:43Z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