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成都市高新市场监督管理局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药品经营使用单位日常监督检查表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检查类型：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日常监管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专项检查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其他（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检查日期</w:t>
      </w:r>
      <w:r>
        <w:rPr>
          <w:rFonts w:hint="eastAsia"/>
          <w:lang w:val="en-US" w:eastAsia="zh-CN"/>
        </w:rPr>
        <w:t xml:space="preserve">     年   月   日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企业类型：  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零售企业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医疗机构</w:t>
      </w:r>
    </w:p>
    <w:tbl>
      <w:tblPr>
        <w:tblStyle w:val="3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2"/>
        <w:gridCol w:w="1620"/>
        <w:gridCol w:w="1140"/>
        <w:gridCol w:w="1498"/>
        <w:gridCol w:w="103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86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9" w:hRule="atLeast"/>
        </w:trPr>
        <w:tc>
          <w:tcPr>
            <w:tcW w:w="186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73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1、药店门口或店内是否设置一米提示线；          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2、在药店进门醒目位置是否设置“进店请佩戴口罩”提示语；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3、对进店消费者是否进行体温检测；              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4、店内员工是否佩戴口罩；                      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5、店内是否有富顿二维码；                      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6、店内员工是否清楚退烧药、止咳药扫码实名登记流程；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7、店内销售退烧药、止咳药是否扫码实名登记；    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8、店内员工是否清楚成都市药店疫情防控基本要求；      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9、其他问题：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98" w:hRule="atLeast"/>
        </w:trPr>
        <w:tc>
          <w:tcPr>
            <w:tcW w:w="186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检查人员提出的要求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1、务必严格落实成都市疫情防控指挥部、成都市市场监督管理局等部门提出的疫情防控各项要求；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2、务必做好店内员工个人防护、消费者体温监测、退烧药、止咳药扫码实名登记；有体温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37.3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℃</w:t>
            </w:r>
            <w:r>
              <w:rPr>
                <w:rFonts w:hint="eastAsia"/>
                <w:vertAlign w:val="baseline"/>
                <w:lang w:val="en-US" w:eastAsia="zh-CN"/>
              </w:rPr>
              <w:t>的，应如实填写，并同时向所在社区报告。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186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被检查单位负责人（签名）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ind w:firstLine="1050" w:firstLineChars="5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186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检查人员（签名）</w:t>
            </w:r>
          </w:p>
        </w:tc>
        <w:tc>
          <w:tcPr>
            <w:tcW w:w="7320" w:type="dxa"/>
            <w:gridSpan w:val="5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年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255E"/>
    <w:rsid w:val="19F879DE"/>
    <w:rsid w:val="1CBF49B2"/>
    <w:rsid w:val="63852EE3"/>
    <w:rsid w:val="763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2021-01-22T05:53:54Z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