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12" w:rsidRDefault="000103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5761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5761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57612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5761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5761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5761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5761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5761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、希爱力个人完成情况。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57612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5761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15761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15761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761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5761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57612" w:rsidRDefault="00157612"/>
    <w:p w:rsidR="00157612" w:rsidRDefault="00157612"/>
    <w:p w:rsidR="00157612" w:rsidRDefault="00010330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李浩东</w:t>
      </w:r>
      <w:bookmarkStart w:id="0" w:name="_GoBack"/>
      <w:bookmarkEnd w:id="0"/>
    </w:p>
    <w:p w:rsidR="00157612" w:rsidRDefault="00157612"/>
    <w:p w:rsidR="00157612" w:rsidRDefault="00157612"/>
    <w:p w:rsidR="00157612" w:rsidRDefault="00157612">
      <w:pPr>
        <w:jc w:val="center"/>
        <w:rPr>
          <w:b/>
          <w:bCs/>
          <w:sz w:val="24"/>
        </w:rPr>
      </w:pPr>
    </w:p>
    <w:p w:rsidR="00157612" w:rsidRDefault="00157612">
      <w:pPr>
        <w:jc w:val="center"/>
        <w:rPr>
          <w:b/>
          <w:bCs/>
          <w:sz w:val="24"/>
        </w:rPr>
      </w:pPr>
    </w:p>
    <w:p w:rsidR="00157612" w:rsidRDefault="00157612">
      <w:pPr>
        <w:jc w:val="center"/>
        <w:rPr>
          <w:b/>
          <w:bCs/>
          <w:sz w:val="24"/>
        </w:rPr>
      </w:pPr>
    </w:p>
    <w:p w:rsidR="00157612" w:rsidRDefault="00010330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20.9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5761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57612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761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761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15761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761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157612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57612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5761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5761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57612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5761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57612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5761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5761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01033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612" w:rsidRDefault="0015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157612" w:rsidRDefault="00157612">
      <w:pPr>
        <w:jc w:val="left"/>
      </w:pPr>
    </w:p>
    <w:p w:rsidR="00157612" w:rsidRDefault="00010330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157612" w:rsidSect="001576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0330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57612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56186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1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5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5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5761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5761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>磐石电脑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2020-09-24T13:55:00Z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