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关于缬沙坦胶囊（代文）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公司结合厂家资源，</w:t>
      </w:r>
      <w:r>
        <w:rPr>
          <w:rFonts w:hint="eastAsia"/>
          <w:sz w:val="28"/>
          <w:szCs w:val="28"/>
          <w:lang w:val="en-US" w:eastAsia="zh-CN"/>
        </w:rPr>
        <w:t>助力门店销售，特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09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57"/>
        <w:gridCol w:w="1109"/>
        <w:gridCol w:w="524"/>
        <w:gridCol w:w="1213"/>
        <w:gridCol w:w="689"/>
        <w:gridCol w:w="35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缬沙坦胶囊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80mgx28粒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北京诺华制药有限公司厂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活动内容：买两盒+0.01元换购一盒28粒装（原品）</w:t>
            </w:r>
          </w:p>
        </w:tc>
      </w:tr>
    </w:tbl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2020年08月15日-2020年9月31日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执行门店：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所有门店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注：门店参与活动时务必按整套下账，并于后期与厂家核对数据。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缬沙坦胶囊（代文）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E354C9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7111EA"/>
    <w:rsid w:val="24885696"/>
    <w:rsid w:val="27D132AD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77F70B1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3356BF"/>
    <w:rsid w:val="465A4175"/>
    <w:rsid w:val="46E22933"/>
    <w:rsid w:val="47C629BF"/>
    <w:rsid w:val="4BE35146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23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2020-08-14T01:28:35Z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