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潘家街店“7.1”冷链药品损失赔偿通报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公司各部门、各门店：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潘家街店因未及时充缴电费，致2020年7月1日凌晨1点左右断电，造成冷链药品5396.39元经济损失。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一、事故经过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店长黄梅2020年7月1日早上开门后开大厅灯发现灯不亮，看其他商铺是亮灯的，立即查看冷藏柜灯也没有亮。店长黄梅马上找到物管保安查看电表情况，断电时有75度，电卡重新插上后就通电了。冷藏柜通电后显示温度24.1，通过万店掌视频查看发现是7月1日凌晨1点左右断电的。经查当时冷链药品库存金额5396.39元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二、事故原因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潘家街店的电费在物管公司购买，不在国家电网购买。物管公司系统当剩余电量是购电量的10%时会断电提醒，提醒购电，实际上还有电费，重新插一下电卡就立马会通电。店长黄梅6月28日中午交完班查看过电费，打算7月1日充电费，但在7月1日凌晨1点就断电了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因物管未告知剩余电量当达到充电度数的10%就会断电提醒，本次事故发生后问物管工作人员才知道，以前也未出现这样的情况，也未有短信提示，所以就不知道断电了，造成冷藏柜温度超标，造成药品损失。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三、改进措施（所有门店）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1、门店店长要增强责任心，随时掌握门店电费存量，至少要按上月日均用电提前三天以上充缴电费。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2、必须了解电费充缴及规则,严格按照规则提前充缴电费。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四、损失赔偿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542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被处罚人</w:t>
            </w:r>
          </w:p>
        </w:tc>
        <w:tc>
          <w:tcPr>
            <w:tcW w:w="4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主要责任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处罚金额（元）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黄梅</w:t>
            </w:r>
          </w:p>
        </w:tc>
        <w:tc>
          <w:tcPr>
            <w:tcW w:w="4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未及时充缴电费，责任心不强，承担主要责任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4196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明登银</w:t>
            </w:r>
          </w:p>
        </w:tc>
        <w:tc>
          <w:tcPr>
            <w:tcW w:w="4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质管部经理助理，承担管理责任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刘美玲</w:t>
            </w:r>
          </w:p>
        </w:tc>
        <w:tc>
          <w:tcPr>
            <w:tcW w:w="4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片区主管，承担管理责任</w:t>
            </w:r>
            <w:bookmarkStart w:id="0" w:name="_GoBack"/>
            <w:bookmarkEnd w:id="0"/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杜永红</w:t>
            </w:r>
          </w:p>
        </w:tc>
        <w:tc>
          <w:tcPr>
            <w:tcW w:w="4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承担领导责任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李坚</w:t>
            </w:r>
          </w:p>
        </w:tc>
        <w:tc>
          <w:tcPr>
            <w:tcW w:w="4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承担领导责任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蒋炜</w:t>
            </w:r>
          </w:p>
        </w:tc>
        <w:tc>
          <w:tcPr>
            <w:tcW w:w="4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承担领导责任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111F2C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5396</w:t>
            </w:r>
          </w:p>
        </w:tc>
      </w:tr>
    </w:tbl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请被处罚人</w:t>
      </w:r>
      <w:r>
        <w:rPr>
          <w:rFonts w:hint="eastAsia" w:asciiTheme="minorEastAsia" w:hAnsi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两</w:t>
      </w:r>
      <w:r>
        <w:rPr>
          <w:rFonts w:hint="eastAsia" w:asciiTheme="minorEastAsia" w:hAnsiTheme="minorEastAsia" w:cstheme="minorEastAsia"/>
          <w:sz w:val="28"/>
          <w:szCs w:val="28"/>
        </w:rPr>
        <w:t>周内缴财务部。</w:t>
      </w: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附冷链药品损失明细表</w:t>
      </w:r>
    </w:p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551"/>
        <w:gridCol w:w="2104"/>
        <w:gridCol w:w="479"/>
        <w:gridCol w:w="729"/>
        <w:gridCol w:w="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货品ID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品名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考核价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172554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双歧杆菌活菌胶囊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0.35x40粒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104695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双歧杆菌乳杆菌三联活菌片(金双歧)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0.5gx12片x3板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双歧杆菌乳杆菌三联活菌片(金双歧)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18.5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182316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双歧杆菌四联活菌片(思连康)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0.5g×36片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34.81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55705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重组人干扰素a2b栓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10万IU/粒x5粒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180936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重组人干扰素α2b凝胶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1.0×10万IU:5g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31.75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112078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阴道用乳杆菌活菌胶囊（定君生）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0.25gx5粒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98109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精蛋白生物合成人胰岛素注射液(预混30R)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3ml:300iu(笔芯)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43703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门冬胰岛素30注射液(诺和锐30)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100单位/ml:3ml(笔芯)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70.99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141.98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94085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重组甘精胰岛素注射液(长秀霖)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3ml：300单位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145.5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134594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人血白蛋白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20%（50ml：10g）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5396.39</w:t>
            </w:r>
          </w:p>
        </w:tc>
      </w:tr>
    </w:tbl>
    <w:p>
      <w:pPr>
        <w:widowControl/>
        <w:adjustRightInd w:val="0"/>
        <w:snapToGrid w:val="0"/>
        <w:spacing w:before="156" w:beforeLines="50" w:line="360" w:lineRule="auto"/>
        <w:ind w:firstLine="480" w:firstLineChars="200"/>
        <w:rPr>
          <w:rFonts w:ascii="宋体" w:hAnsi="宋体" w:eastAsia="宋体" w:cs="宋体"/>
          <w:color w:val="111F2C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111F2C"/>
          <w:kern w:val="0"/>
          <w:sz w:val="24"/>
          <w:lang w:bidi="ar"/>
        </w:rPr>
        <w:t>请各部门、各门店引以为戒，增强工作责任心，杜绝类似事件的发生。</w:t>
      </w: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hint="eastAsia" w:ascii="宋体" w:hAnsi="宋体" w:eastAsia="宋体" w:cs="宋体"/>
          <w:color w:val="111F2C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ascii="宋体" w:hAnsi="宋体" w:eastAsia="宋体" w:cs="宋体"/>
          <w:color w:val="111F2C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bidi="ar"/>
        </w:rPr>
        <w:t>质管部</w:t>
      </w:r>
    </w:p>
    <w:p>
      <w:pPr>
        <w:widowControl/>
        <w:adjustRightInd w:val="0"/>
        <w:snapToGrid w:val="0"/>
        <w:spacing w:line="360" w:lineRule="auto"/>
        <w:ind w:firstLine="5600" w:firstLineChars="20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bidi="ar"/>
        </w:rPr>
        <w:t>2020年7月6</w:t>
      </w: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C2B8F"/>
    <w:multiLevelType w:val="singleLevel"/>
    <w:tmpl w:val="7A7C2B8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C6"/>
    <w:rsid w:val="00446F16"/>
    <w:rsid w:val="008503C6"/>
    <w:rsid w:val="008F5C85"/>
    <w:rsid w:val="02340A7A"/>
    <w:rsid w:val="0DA572BF"/>
    <w:rsid w:val="0F4E61E1"/>
    <w:rsid w:val="145D558B"/>
    <w:rsid w:val="14BE4710"/>
    <w:rsid w:val="14CE59B9"/>
    <w:rsid w:val="1DE5612F"/>
    <w:rsid w:val="23B7045D"/>
    <w:rsid w:val="28601476"/>
    <w:rsid w:val="2E772E20"/>
    <w:rsid w:val="319E7C13"/>
    <w:rsid w:val="366132FD"/>
    <w:rsid w:val="3C622E6B"/>
    <w:rsid w:val="3E3B5AB6"/>
    <w:rsid w:val="3F085640"/>
    <w:rsid w:val="3FA23B90"/>
    <w:rsid w:val="45CB5C85"/>
    <w:rsid w:val="4EC27695"/>
    <w:rsid w:val="4ED86D1C"/>
    <w:rsid w:val="52C66F24"/>
    <w:rsid w:val="59820184"/>
    <w:rsid w:val="5B770D5E"/>
    <w:rsid w:val="5DFE0D35"/>
    <w:rsid w:val="5E275FB3"/>
    <w:rsid w:val="5E830730"/>
    <w:rsid w:val="5EDB50E6"/>
    <w:rsid w:val="68D072CC"/>
    <w:rsid w:val="6A676FDC"/>
    <w:rsid w:val="6F8734DA"/>
    <w:rsid w:val="739E76C0"/>
    <w:rsid w:val="740907EA"/>
    <w:rsid w:val="75784A6A"/>
    <w:rsid w:val="75AD6080"/>
    <w:rsid w:val="78145B73"/>
    <w:rsid w:val="7E9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340</Characters>
  <Lines>2</Lines>
  <Paragraphs>2</Paragraphs>
  <TotalTime>0</TotalTime>
  <ScaleCrop>false</ScaleCrop>
  <LinksUpToDate>false</LinksUpToDate>
  <CharactersWithSpaces>1180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明登银</cp:lastModifiedBy>
  <dcterms:modified xsi:type="dcterms:W3CDTF">2020-07-08T05:56:49Z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