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外销部发【20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】00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号                    签发人: 蒋  炜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“4.23世界读书日”活动方案</w:t>
      </w:r>
    </w:p>
    <w:p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各部门、门店：</w:t>
      </w:r>
    </w:p>
    <w:p>
      <w:pPr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“樊登读书4.23</w:t>
      </w:r>
      <w:r>
        <w:rPr>
          <w:rFonts w:hint="eastAsia"/>
          <w:bCs/>
          <w:sz w:val="21"/>
          <w:szCs w:val="21"/>
        </w:rPr>
        <w:t>世界读书日</w:t>
      </w:r>
      <w:r>
        <w:rPr>
          <w:rFonts w:hint="eastAsia"/>
          <w:sz w:val="21"/>
          <w:szCs w:val="21"/>
        </w:rPr>
        <w:t>阅读狂欢节”活动落地太极大药房，活动持续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天，</w:t>
      </w:r>
      <w:r>
        <w:rPr>
          <w:rFonts w:hint="eastAsia" w:asciiTheme="minorEastAsia" w:hAnsiTheme="minorEastAsia"/>
          <w:sz w:val="21"/>
          <w:szCs w:val="21"/>
        </w:rPr>
        <w:t>为</w:t>
      </w:r>
      <w:r>
        <w:rPr>
          <w:rFonts w:hint="eastAsia"/>
          <w:sz w:val="21"/>
          <w:szCs w:val="21"/>
        </w:rPr>
        <w:t>帮助更多的人养成阅读的习惯，为</w:t>
      </w:r>
      <w:r>
        <w:rPr>
          <w:rFonts w:hint="eastAsia" w:asciiTheme="minorEastAsia" w:hAnsiTheme="minorEastAsia"/>
          <w:sz w:val="21"/>
          <w:szCs w:val="21"/>
        </w:rPr>
        <w:t>现在充电,为将来赋能，用阅读点亮生活</w:t>
      </w:r>
      <w:r>
        <w:rPr>
          <w:rFonts w:hint="eastAsia"/>
          <w:sz w:val="21"/>
          <w:szCs w:val="21"/>
        </w:rPr>
        <w:t>，请大家抓住机遇，大力推介。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活动时间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2020</w:t>
      </w:r>
      <w:r>
        <w:rPr>
          <w:rFonts w:hint="eastAsia"/>
          <w:sz w:val="21"/>
          <w:szCs w:val="21"/>
        </w:rPr>
        <w:t>年04月2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日至04月2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日，公司全员参与（含后勤员工、促销人员及实习、试用员工）。</w:t>
      </w:r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二、活动主题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4.23</w:t>
      </w:r>
      <w:r>
        <w:rPr>
          <w:rFonts w:hint="eastAsia"/>
          <w:bCs/>
          <w:sz w:val="21"/>
          <w:szCs w:val="21"/>
        </w:rPr>
        <w:t>世界读书日，</w:t>
      </w:r>
      <w:r>
        <w:rPr>
          <w:rFonts w:hint="eastAsia"/>
          <w:sz w:val="21"/>
          <w:szCs w:val="21"/>
        </w:rPr>
        <w:t>好书共读、亲友同享。</w:t>
      </w:r>
    </w:p>
    <w:p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三、活动方案</w:t>
      </w:r>
    </w:p>
    <w:p>
      <w:pPr>
        <w:spacing w:line="360" w:lineRule="auto"/>
        <w:rPr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（一）宣传阶段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 xml:space="preserve">1.时间： 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年4月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日至2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日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2.每天分享指定内容至朋友圈，全员参与推广宣传。</w:t>
      </w:r>
    </w:p>
    <w:p>
      <w:pPr>
        <w:spacing w:line="360" w:lineRule="auto"/>
        <w:ind w:left="105" w:leftChars="50" w:firstLine="420" w:firstLineChars="200"/>
        <w:rPr>
          <w:rFonts w:hint="eastAsia"/>
          <w:sz w:val="21"/>
          <w:szCs w:val="21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分享话语话术：</w:t>
      </w:r>
      <w:r>
        <w:rPr>
          <w:rFonts w:hint="eastAsia"/>
          <w:sz w:val="21"/>
          <w:szCs w:val="21"/>
          <w:highlight w:val="yellow"/>
        </w:rPr>
        <w:t>好书共读、亲友同享。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</w:rPr>
        <w:t>买1年VIP再送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</w:rPr>
        <w:t>年VIP礼品卡。</w:t>
      </w:r>
      <w:r>
        <w:rPr>
          <w:rFonts w:hint="eastAsia"/>
          <w:sz w:val="21"/>
          <w:szCs w:val="21"/>
          <w:highlight w:val="yellow"/>
        </w:rPr>
        <w:t>为</w:t>
      </w:r>
      <w:r>
        <w:rPr>
          <w:rFonts w:hint="eastAsia" w:asciiTheme="minorEastAsia" w:hAnsiTheme="minorEastAsia"/>
          <w:sz w:val="21"/>
          <w:szCs w:val="21"/>
          <w:highlight w:val="yellow"/>
        </w:rPr>
        <w:t>现在充电,为将来赋能，用阅读点亮生活，樊登读书倡导全民阅读,</w:t>
      </w:r>
      <w:r>
        <w:rPr>
          <w:rFonts w:hint="eastAsia"/>
          <w:sz w:val="21"/>
          <w:szCs w:val="21"/>
          <w:highlight w:val="yellow"/>
        </w:rPr>
        <w:t>帮助3亿国人养成阅读的习惯！</w:t>
      </w:r>
    </w:p>
    <w:p>
      <w:pPr>
        <w:numPr>
          <w:ilvl w:val="0"/>
          <w:numId w:val="0"/>
        </w:numPr>
        <w:spacing w:line="360" w:lineRule="auto"/>
        <w:ind w:leftChars="250"/>
        <w:rPr>
          <w:rFonts w:hint="default"/>
          <w:sz w:val="21"/>
          <w:szCs w:val="21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  <w:drawing>
          <wp:inline distT="0" distB="0" distL="114300" distR="114300">
            <wp:extent cx="2479040" cy="2034540"/>
            <wp:effectExtent l="0" t="0" r="16510" b="3810"/>
            <wp:docPr id="7" name="图片 7" descr="a1d09e30e4a938e4400910072f5f3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1d09e30e4a938e4400910072f5f3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（二）正式活动阶段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 xml:space="preserve">1.时间： 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年4月2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日至2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日。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活动期间内，购买樊登读书一年VIP会期，即可获得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9个月V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IP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eastAsia="zh-CN"/>
        </w:rPr>
        <w:t>立即到账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eastAsia="zh-CN"/>
        </w:rPr>
        <w:t>送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3张一个月礼品卡，可送亲友，也可自用。</w:t>
      </w:r>
    </w:p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四、樊登读书卡销售开卡方式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</w:rPr>
        <w:t>统一开卡时间：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</w:rPr>
        <w:t>年4月2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</w:rPr>
        <w:t>日至2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</w:rPr>
        <w:t>日，其余时间开卡不享受本次活动优惠及奖励。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注意事项：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</w:rPr>
        <w:t>购卡人姓名及手机号码为唯一识别凭证，如有差错，后果自负。</w:t>
      </w:r>
    </w:p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(二)、通过微信扫码购卡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1.引导购卡人扫描“樊登读书”二维码缴费，每张书卡售价365元。</w:t>
      </w:r>
    </w:p>
    <w:p>
      <w:pPr>
        <w:spacing w:line="360" w:lineRule="auto"/>
        <w:rPr>
          <w:rFonts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微信扫描二维码，填写消费金额“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</w:rPr>
        <w:t>365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”元；点击“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</w:rPr>
        <w:t>添加付款备注”，填写购卡人姓名+手机号码并保存添加付款备注界面图片；点击“确认付款”；付款成功后将保存添加付款备注界面图片发给外销部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  <w:lang w:eastAsia="zh-CN"/>
        </w:rPr>
        <w:t>朱丽娟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</w:rPr>
        <w:t>并通知其为购卡人充值(保存添加付款备注界面的目的是便于核实推广人)。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支付方式仅限微信扫码，不支持其他方式支付。</w:t>
      </w:r>
    </w:p>
    <w:p>
      <w:pPr>
        <w:spacing w:line="360" w:lineRule="auto"/>
        <w:rPr>
          <w:rFonts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 xml:space="preserve">  </w:t>
      </w:r>
      <w:r>
        <w:rPr>
          <w:rFonts w:asciiTheme="majorEastAsia" w:hAnsiTheme="majorEastAsia" w:eastAsiaTheme="majorEastAsia" w:cstheme="majorEastAsia"/>
          <w:bCs/>
          <w:sz w:val="21"/>
          <w:szCs w:val="21"/>
        </w:rPr>
        <w:drawing>
          <wp:inline distT="0" distB="0" distL="0" distR="0">
            <wp:extent cx="2153285" cy="2053590"/>
            <wp:effectExtent l="0" t="0" r="18415" b="3810"/>
            <wp:docPr id="22" name="图片 22" descr="C:\Users\Administrator\Desktop\樊登读书\樊登读书太极分会收款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樊登读书\樊登读书太极分会收款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 xml:space="preserve">     </w:t>
      </w:r>
      <w:r>
        <w:rPr>
          <w:rFonts w:asciiTheme="majorEastAsia" w:hAnsiTheme="majorEastAsia" w:eastAsiaTheme="majorEastAsia" w:cstheme="majorEastAsia"/>
          <w:bCs/>
          <w:sz w:val="21"/>
          <w:szCs w:val="21"/>
        </w:rPr>
        <w:drawing>
          <wp:inline distT="0" distB="0" distL="0" distR="0">
            <wp:extent cx="1890395" cy="1972945"/>
            <wp:effectExtent l="0" t="0" r="14605" b="8255"/>
            <wp:docPr id="14" name="图片 21" descr="C:\Users\Administrator\Desktop\06f8eb0d11d65c557c1a3a4d0dac7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1" descr="C:\Users\Administrator\Desktop\06f8eb0d11d65c557c1a3a4d0dac7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Cs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</w:rPr>
        <w:t>图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 xml:space="preserve">                                  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</w:rPr>
        <w:t>图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1"/>
          <w:szCs w:val="21"/>
          <w:lang w:eastAsia="zh-CN"/>
        </w:rPr>
        <w:t>二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2.外销部确认缴款信息后，根据“付款备注”的信息, 于4月2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日至2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日统一为购卡人开卡；购卡人开卡成功后，购卡人手机会收到一条短消息提示。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3.引导购卡人下载“樊登读书APP”输入手机号和验证码，即可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开启读书点亮生活的成长之旅。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注意事项：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</w:rPr>
        <w:t>请确保</w:t>
      </w:r>
      <w:r>
        <w:rPr>
          <w:rFonts w:asciiTheme="majorEastAsia" w:hAnsiTheme="majorEastAsia" w:eastAsiaTheme="majorEastAsia" w:cstheme="majorEastAsia"/>
          <w:bCs/>
          <w:sz w:val="21"/>
          <w:szCs w:val="21"/>
          <w:highlight w:val="yellow"/>
        </w:rPr>
        <w:t>”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  <w:highlight w:val="yellow"/>
        </w:rPr>
        <w:t>添加付款备注</w:t>
      </w:r>
      <w:r>
        <w:rPr>
          <w:rFonts w:asciiTheme="majorEastAsia" w:hAnsiTheme="majorEastAsia" w:eastAsiaTheme="majorEastAsia" w:cstheme="majorEastAsia"/>
          <w:bCs/>
          <w:sz w:val="21"/>
          <w:szCs w:val="21"/>
          <w:highlight w:val="yellow"/>
        </w:rPr>
        <w:t>”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信息的完整及准确性，备注不完整或者备注错误，后果自负。</w:t>
      </w:r>
    </w:p>
    <w:p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五、活动目标及考核：</w:t>
      </w:r>
    </w:p>
    <w:p>
      <w:pPr>
        <w:spacing w:line="360" w:lineRule="auto"/>
        <w:ind w:firstLine="422" w:firstLineChars="200"/>
        <w:rPr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highlight w:val="yellow"/>
        </w:rPr>
        <w:t>考核时间：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4月2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日至4月2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日</w:t>
      </w:r>
    </w:p>
    <w:tbl>
      <w:tblPr>
        <w:tblStyle w:val="6"/>
        <w:tblW w:w="8377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630"/>
        <w:gridCol w:w="1509"/>
        <w:gridCol w:w="1676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目标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每人推广数量（张）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基础档奖励（元）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挑战档奖励（元）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未完成基础档（元）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基础档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65</w:t>
            </w:r>
          </w:p>
        </w:tc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65+n*100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未完成基础档，且未在朋友圈分享，缴纳成长金20元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挑战档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1+n</w:t>
            </w:r>
          </w:p>
        </w:tc>
        <w:tc>
          <w:tcPr>
            <w:tcW w:w="15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注：请大家积极开发客户，提前做好预售工作。预售客户的开卡工作统一在4月2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日至4月2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日进行。如有疑问，欢迎咨询外销部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朱丽娟：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13730876120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四川太极大药房连锁有限公司</w:t>
      </w:r>
    </w:p>
    <w:p>
      <w:pPr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二〇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二</w:t>
      </w:r>
      <w:r>
        <w:rPr>
          <w:rFonts w:hint="eastAsia" w:ascii="宋体" w:hAnsi="宋体" w:eastAsia="宋体" w:cs="宋体"/>
          <w:sz w:val="21"/>
          <w:szCs w:val="21"/>
        </w:rPr>
        <w:t>〇年四月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二十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樊登        世界读书日          活动方案                    </w:t>
      </w:r>
    </w:p>
    <w:p>
      <w:pPr>
        <w:spacing w:line="360" w:lineRule="auto"/>
        <w:ind w:left="562" w:hanging="562" w:hangingChars="200"/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2020</w:t>
      </w:r>
      <w:r>
        <w:rPr>
          <w:rFonts w:hint="eastAsia" w:ascii="宋体" w:hAnsi="宋体" w:cs="宋体"/>
          <w:b/>
          <w:sz w:val="28"/>
          <w:szCs w:val="28"/>
          <w:u w:val="single"/>
        </w:rPr>
        <w:t>年 04月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sz w:val="28"/>
          <w:szCs w:val="28"/>
        </w:rPr>
        <w:t>打印：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朱丽娟</w:t>
      </w:r>
      <w:r>
        <w:rPr>
          <w:rFonts w:hint="eastAsia" w:ascii="宋体" w:hAnsi="宋体" w:cs="宋体"/>
          <w:b/>
          <w:sz w:val="28"/>
          <w:szCs w:val="28"/>
        </w:rPr>
        <w:t xml:space="preserve">   核对：李丹      （共印1份）</w:t>
      </w:r>
    </w:p>
    <w:sectPr>
      <w:pgSz w:w="11906" w:h="16838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9477D"/>
    <w:rsid w:val="00007DC1"/>
    <w:rsid w:val="00052F42"/>
    <w:rsid w:val="00065DE7"/>
    <w:rsid w:val="00090F52"/>
    <w:rsid w:val="00133CDE"/>
    <w:rsid w:val="00151266"/>
    <w:rsid w:val="00170F2F"/>
    <w:rsid w:val="001932A8"/>
    <w:rsid w:val="00196F75"/>
    <w:rsid w:val="001D6F38"/>
    <w:rsid w:val="001D7A97"/>
    <w:rsid w:val="00204626"/>
    <w:rsid w:val="00213F2E"/>
    <w:rsid w:val="00222938"/>
    <w:rsid w:val="002233F3"/>
    <w:rsid w:val="00234BCA"/>
    <w:rsid w:val="0024682F"/>
    <w:rsid w:val="00250A15"/>
    <w:rsid w:val="002617C2"/>
    <w:rsid w:val="00271F9D"/>
    <w:rsid w:val="00294FF6"/>
    <w:rsid w:val="002A685E"/>
    <w:rsid w:val="002C3F78"/>
    <w:rsid w:val="003036F1"/>
    <w:rsid w:val="00307478"/>
    <w:rsid w:val="00310D2A"/>
    <w:rsid w:val="003175DE"/>
    <w:rsid w:val="00345A7B"/>
    <w:rsid w:val="00372B65"/>
    <w:rsid w:val="003A2AA5"/>
    <w:rsid w:val="003B5335"/>
    <w:rsid w:val="003D710C"/>
    <w:rsid w:val="00423E0E"/>
    <w:rsid w:val="004345EB"/>
    <w:rsid w:val="004A4441"/>
    <w:rsid w:val="004F19A9"/>
    <w:rsid w:val="004F772D"/>
    <w:rsid w:val="0050017B"/>
    <w:rsid w:val="00501046"/>
    <w:rsid w:val="005162FF"/>
    <w:rsid w:val="00545162"/>
    <w:rsid w:val="00556E76"/>
    <w:rsid w:val="0058565B"/>
    <w:rsid w:val="005B1D2B"/>
    <w:rsid w:val="005B1F2D"/>
    <w:rsid w:val="005C60B5"/>
    <w:rsid w:val="005D3541"/>
    <w:rsid w:val="005D4D0E"/>
    <w:rsid w:val="00611CA2"/>
    <w:rsid w:val="00615B61"/>
    <w:rsid w:val="00625C25"/>
    <w:rsid w:val="006353A2"/>
    <w:rsid w:val="006B2336"/>
    <w:rsid w:val="00743415"/>
    <w:rsid w:val="007739B7"/>
    <w:rsid w:val="007A5372"/>
    <w:rsid w:val="007F02AC"/>
    <w:rsid w:val="00816C50"/>
    <w:rsid w:val="0081740B"/>
    <w:rsid w:val="008571DB"/>
    <w:rsid w:val="008D43CF"/>
    <w:rsid w:val="00904C0F"/>
    <w:rsid w:val="00911B2D"/>
    <w:rsid w:val="00913784"/>
    <w:rsid w:val="0095780A"/>
    <w:rsid w:val="009E6021"/>
    <w:rsid w:val="00A04A5B"/>
    <w:rsid w:val="00A05E23"/>
    <w:rsid w:val="00A14C73"/>
    <w:rsid w:val="00A726FC"/>
    <w:rsid w:val="00A74027"/>
    <w:rsid w:val="00AC3D12"/>
    <w:rsid w:val="00AD1C82"/>
    <w:rsid w:val="00AD41CA"/>
    <w:rsid w:val="00AE344E"/>
    <w:rsid w:val="00B83241"/>
    <w:rsid w:val="00B8479E"/>
    <w:rsid w:val="00BC3D4F"/>
    <w:rsid w:val="00BE079C"/>
    <w:rsid w:val="00BF4E84"/>
    <w:rsid w:val="00C35AE8"/>
    <w:rsid w:val="00C3799F"/>
    <w:rsid w:val="00CB5E26"/>
    <w:rsid w:val="00CD7D7E"/>
    <w:rsid w:val="00D106FA"/>
    <w:rsid w:val="00D33F73"/>
    <w:rsid w:val="00D533F3"/>
    <w:rsid w:val="00E12ED8"/>
    <w:rsid w:val="00E2142D"/>
    <w:rsid w:val="00E37E21"/>
    <w:rsid w:val="00E41867"/>
    <w:rsid w:val="00E4304D"/>
    <w:rsid w:val="00E449CE"/>
    <w:rsid w:val="00E55B9A"/>
    <w:rsid w:val="00EA1B1A"/>
    <w:rsid w:val="00EB23EE"/>
    <w:rsid w:val="00EB7959"/>
    <w:rsid w:val="00F05BD1"/>
    <w:rsid w:val="00F657B8"/>
    <w:rsid w:val="00FA005A"/>
    <w:rsid w:val="00FB00CF"/>
    <w:rsid w:val="00FC1B22"/>
    <w:rsid w:val="00FF226F"/>
    <w:rsid w:val="00FF2E87"/>
    <w:rsid w:val="0151475A"/>
    <w:rsid w:val="0439477D"/>
    <w:rsid w:val="04CF5446"/>
    <w:rsid w:val="09C75B27"/>
    <w:rsid w:val="0C82500C"/>
    <w:rsid w:val="0FB71BFD"/>
    <w:rsid w:val="0FC4219D"/>
    <w:rsid w:val="10E41256"/>
    <w:rsid w:val="132B7CE4"/>
    <w:rsid w:val="149C7A27"/>
    <w:rsid w:val="17DD6227"/>
    <w:rsid w:val="1C655084"/>
    <w:rsid w:val="1F7516A7"/>
    <w:rsid w:val="21D6450B"/>
    <w:rsid w:val="21F66672"/>
    <w:rsid w:val="2349369F"/>
    <w:rsid w:val="24041F5C"/>
    <w:rsid w:val="28561FAB"/>
    <w:rsid w:val="29B04836"/>
    <w:rsid w:val="29F07D6D"/>
    <w:rsid w:val="30500F3E"/>
    <w:rsid w:val="305878C0"/>
    <w:rsid w:val="31187A0B"/>
    <w:rsid w:val="32DA124B"/>
    <w:rsid w:val="380A0CEB"/>
    <w:rsid w:val="38AE5A0A"/>
    <w:rsid w:val="39EA4C4A"/>
    <w:rsid w:val="3B2843D0"/>
    <w:rsid w:val="3C3A5AF8"/>
    <w:rsid w:val="3D620993"/>
    <w:rsid w:val="41F35C7B"/>
    <w:rsid w:val="4200562C"/>
    <w:rsid w:val="422A1654"/>
    <w:rsid w:val="42456CD1"/>
    <w:rsid w:val="44EA6EB2"/>
    <w:rsid w:val="464E3061"/>
    <w:rsid w:val="478B00F3"/>
    <w:rsid w:val="478B6AFF"/>
    <w:rsid w:val="4E9212F8"/>
    <w:rsid w:val="503744DD"/>
    <w:rsid w:val="51AC5EF7"/>
    <w:rsid w:val="53B02698"/>
    <w:rsid w:val="552C5330"/>
    <w:rsid w:val="593C4DE5"/>
    <w:rsid w:val="5CC718D8"/>
    <w:rsid w:val="5F985DC9"/>
    <w:rsid w:val="63E12475"/>
    <w:rsid w:val="684E6E44"/>
    <w:rsid w:val="6EF36884"/>
    <w:rsid w:val="6F7001D7"/>
    <w:rsid w:val="71D30FA1"/>
    <w:rsid w:val="72093D6A"/>
    <w:rsid w:val="74206556"/>
    <w:rsid w:val="753F2BFF"/>
    <w:rsid w:val="75776530"/>
    <w:rsid w:val="773A0617"/>
    <w:rsid w:val="77C0112E"/>
    <w:rsid w:val="77F41386"/>
    <w:rsid w:val="79DD42D8"/>
    <w:rsid w:val="7D9D48EC"/>
    <w:rsid w:val="7EAB40E0"/>
    <w:rsid w:val="7EA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2120</Characters>
  <Lines>17</Lines>
  <Paragraphs>4</Paragraphs>
  <TotalTime>5</TotalTime>
  <ScaleCrop>false</ScaleCrop>
  <LinksUpToDate>false</LinksUpToDate>
  <CharactersWithSpaces>2487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2019-04-16T05:31:00Z</dcterms:created>
  <dc:creator>Timeless.</dc:creator>
  <cp:lastModifiedBy>娟儿</cp:lastModifiedBy>
  <dcterms:modified xsi:type="dcterms:W3CDTF">2020-04-20T05:23:52Z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