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Theme="majorHAnsi" w:hAnsiTheme="majorHAnsi" w:eastAsiaTheme="majorHAnsi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营运部发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〔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099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号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:李坚</w:t>
      </w:r>
      <w:bookmarkStart w:id="0" w:name="_GoBack"/>
      <w:bookmarkEnd w:id="0"/>
      <w:r>
        <w:rPr>
          <w:rFonts w:hint="eastAsia" w:asciiTheme="majorHAnsi" w:hAnsiTheme="majorHAnsi" w:eastAsiaTheme="majorHAnsi"/>
          <w:b/>
          <w:bCs/>
          <w:szCs w:val="21"/>
        </w:rPr>
        <w:br w:type="textWrapping"/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希爱力28粒4月活动方案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执行时间：2019年4月15日至2019年5月15日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门店：所有直营门店</w:t>
      </w:r>
    </w:p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参与商品及规格如下表， 在4月原有奖励及消费者活动基础上，增加破冰奖励，破冰奖励为每个门店在4月15日至5月15日卖出的第一盒有奖励，每个门店仅限一盒；</w:t>
      </w:r>
    </w:p>
    <w:tbl>
      <w:tblPr>
        <w:tblStyle w:val="2"/>
        <w:tblpPr w:leftFromText="180" w:rightFromText="180" w:vertAnchor="text" w:horzAnchor="page" w:tblpX="1825" w:tblpY="62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80"/>
        <w:gridCol w:w="1120"/>
        <w:gridCol w:w="1100"/>
        <w:gridCol w:w="1820"/>
        <w:gridCol w:w="1740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商品编码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基础奖励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完成目标后加提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片数计算方式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</w:rPr>
              <w:t>破冰奖励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他达拉非片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141310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5mg*28s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40元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20元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 Light" w:hAnsi="等线 Light" w:eastAsia="等线 Light" w:cs="Tahoma"/>
                <w:b/>
                <w:bCs/>
                <w:color w:val="000000"/>
                <w:kern w:val="0"/>
                <w:szCs w:val="21"/>
              </w:rPr>
              <w:t>7片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left"/>
              <w:rPr>
                <w:rFonts w:hint="eastAsia" w:ascii="Tahoma" w:hAnsi="Tahoma" w:eastAsia="宋体" w:cs="Tahoma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ahoma" w:hAnsi="Tahoma" w:eastAsia="宋体" w:cs="Tahoma"/>
                <w:b/>
                <w:bCs/>
                <w:color w:val="FF0000"/>
                <w:kern w:val="0"/>
                <w:sz w:val="22"/>
              </w:rPr>
              <w:t>30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</w:rPr>
              <w:t>元</w:t>
            </w:r>
          </w:p>
        </w:tc>
      </w:tr>
    </w:tbl>
    <w:p>
      <w:pPr>
        <w:pStyle w:val="4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奖励方式：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活动结束后根据门店销售流向核算，随工资造发奖励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希爱力活动方案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通知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四川太极大药房连锁有限公司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4月14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：刘美玲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</w:p>
    <w:p>
      <w:pPr>
        <w:spacing w:line="480" w:lineRule="auto"/>
        <w:jc w:val="left"/>
        <w:rPr>
          <w:rFonts w:asciiTheme="majorHAnsi" w:hAnsiTheme="majorHAnsi" w:eastAsiaTheme="majorHAnsi"/>
          <w:szCs w:val="21"/>
        </w:rPr>
      </w:pP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7163"/>
    <w:multiLevelType w:val="multilevel"/>
    <w:tmpl w:val="5CE8716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0D"/>
    <w:rsid w:val="00132D98"/>
    <w:rsid w:val="004C72FA"/>
    <w:rsid w:val="00817581"/>
    <w:rsid w:val="00F5430D"/>
    <w:rsid w:val="1AA1618A"/>
    <w:rsid w:val="33A25914"/>
    <w:rsid w:val="674F74A0"/>
    <w:rsid w:val="7EE2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2020-04-10T05:12:00Z</dcterms:created>
  <dc:creator>Xu Nick</dc:creator>
  <cp:lastModifiedBy>Administrator</cp:lastModifiedBy>
  <dcterms:modified xsi:type="dcterms:W3CDTF">2020-04-15T03:59:24Z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