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关于加强退烧药销售管理的通知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  <w:t>各门店、各部门: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根据成都市市场局、医保局、商务局成市监发（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31号文件要求，就加强退烧药销售管理的相关要求通知如下：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1、退烧药及相关商品（以下称退烧药）的范围以商品部2月19日晚上发到门店邮箱的目录为准。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2、退烧药不得在线上销售。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3、门店销售退烧药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  <w:t>必须在富顿平台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eastAsia="zh-CN"/>
        </w:rPr>
        <w:t>凭身份证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  <w:t>实名登记。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4、即是退烧药又属含麻制剂的，只需要在富顿平台进行退烧药登记或者含麻制剂登记（只选择其中一项登记）。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  <w:t>5、退烧药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在富顿平台登记后，取消手工登记。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  <w:t>6、2月12日以后所属区县对退烧药的范围、退烧药的陈列有新要求的，执行属地区县的要求。否则，都执行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成都市市场局、医保局、商务局成市监发（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31号文件。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高新区门店均扫高新各所的二维码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（2）崇州市、天府新区要求门店所有退烧药下架。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（3）青羊区要求按青羊区的系统扫码登记。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  <w:t>附件：线上不得销售、线下门店需在富顿平台实行实名登记的退烧药目录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0" w:firstLineChars="2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val="en-US" w:eastAsia="zh-CN"/>
        </w:rPr>
        <w:t>2020年2月20日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66297"/>
    <w:rsid w:val="2DB72AA3"/>
    <w:rsid w:val="37954D24"/>
    <w:rsid w:val="51F858FC"/>
    <w:rsid w:val="58E13B8C"/>
    <w:rsid w:val="5DA60D1F"/>
    <w:rsid w:val="65DD1FB3"/>
    <w:rsid w:val="68900B31"/>
    <w:rsid w:val="6B1E6445"/>
    <w:rsid w:val="6B53379D"/>
    <w:rsid w:val="6C433DCD"/>
    <w:rsid w:val="78C35C12"/>
    <w:rsid w:val="7A9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2020-02-20T07:42:50Z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