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left"/>
        <w:textAlignment w:val="top"/>
        <w:rPr>
          <w:rFonts w:hint="eastAsia" w:ascii="微软雅黑" w:hAnsi="微软雅黑" w:eastAsia="微软雅黑" w:cs="微软雅黑"/>
          <w:b w:val="0"/>
          <w:color w:val="333333"/>
          <w:kern w:val="0"/>
          <w:sz w:val="28"/>
          <w:szCs w:val="28"/>
          <w:lang w:val="en-US" w:eastAsia="zh-CN" w:bidi="ar"/>
        </w:rPr>
      </w:pPr>
      <w:r>
        <w:rPr>
          <w:rFonts w:hint="eastAsia" w:ascii="微软雅黑" w:hAnsi="微软雅黑" w:eastAsia="微软雅黑" w:cs="微软雅黑"/>
          <w:b w:val="0"/>
          <w:color w:val="333333"/>
          <w:kern w:val="0"/>
          <w:sz w:val="28"/>
          <w:szCs w:val="28"/>
          <w:lang w:val="en-US" w:eastAsia="zh-CN" w:bidi="ar"/>
        </w:rPr>
        <w:t>各门店：</w:t>
      </w:r>
    </w:p>
    <w:p>
      <w:pPr>
        <w:keepNext w:val="0"/>
        <w:keepLines w:val="0"/>
        <w:widowControl/>
        <w:suppressLineNumbers w:val="0"/>
        <w:spacing w:line="360" w:lineRule="auto"/>
        <w:ind w:firstLine="560" w:firstLineChars="200"/>
        <w:jc w:val="left"/>
        <w:textAlignment w:val="top"/>
        <w:rPr>
          <w:rFonts w:hint="eastAsia" w:ascii="微软雅黑" w:hAnsi="微软雅黑" w:eastAsia="微软雅黑" w:cs="微软雅黑"/>
          <w:color w:val="000000"/>
          <w:sz w:val="28"/>
          <w:szCs w:val="28"/>
          <w:lang w:val="en-US" w:eastAsia="zh-CN"/>
        </w:rPr>
      </w:pPr>
      <w:r>
        <w:rPr>
          <w:rFonts w:hint="eastAsia" w:ascii="微软雅黑" w:hAnsi="微软雅黑" w:eastAsia="微软雅黑" w:cs="微软雅黑"/>
          <w:b w:val="0"/>
          <w:color w:val="333333"/>
          <w:kern w:val="0"/>
          <w:sz w:val="28"/>
          <w:szCs w:val="28"/>
          <w:lang w:val="en-US" w:eastAsia="zh-CN" w:bidi="ar"/>
        </w:rPr>
        <w:t>按</w:t>
      </w:r>
      <w:r>
        <w:rPr>
          <w:rFonts w:hint="eastAsia" w:ascii="微软雅黑" w:hAnsi="微软雅黑" w:eastAsia="微软雅黑" w:cs="微软雅黑"/>
          <w:b w:val="0"/>
          <w:color w:val="333333"/>
          <w:kern w:val="0"/>
          <w:sz w:val="28"/>
          <w:szCs w:val="28"/>
          <w:lang w:val="en-US" w:eastAsia="zh-CN" w:bidi="ar"/>
        </w:rPr>
        <w:t>国家药监局、国家卫生健康委的最新规定，</w:t>
      </w:r>
      <w:r>
        <w:rPr>
          <w:rFonts w:hint="eastAsia" w:ascii="微软雅黑" w:hAnsi="微软雅黑" w:eastAsia="微软雅黑" w:cs="微软雅黑"/>
          <w:color w:val="000000"/>
          <w:sz w:val="28"/>
          <w:szCs w:val="28"/>
        </w:rPr>
        <w:t>氨酚羟考酮片</w:t>
      </w:r>
      <w:r>
        <w:rPr>
          <w:rFonts w:hint="eastAsia" w:ascii="微软雅黑" w:hAnsi="微软雅黑" w:eastAsia="微软雅黑" w:cs="微软雅黑"/>
          <w:color w:val="000000"/>
          <w:sz w:val="28"/>
          <w:szCs w:val="28"/>
          <w:lang w:eastAsia="zh-CN"/>
        </w:rPr>
        <w:t>自</w:t>
      </w:r>
      <w:r>
        <w:rPr>
          <w:rFonts w:hint="eastAsia" w:ascii="微软雅黑" w:hAnsi="微软雅黑" w:eastAsia="微软雅黑" w:cs="微软雅黑"/>
          <w:color w:val="000000"/>
          <w:sz w:val="28"/>
          <w:szCs w:val="28"/>
          <w:lang w:val="en-US" w:eastAsia="zh-CN"/>
        </w:rPr>
        <w:t>2019年9月1日起纳入第二类精神药品管理，药店库存售完为止。请严格按凭处方销售，处方量不得超过7日用量。</w:t>
      </w:r>
    </w:p>
    <w:p>
      <w:pPr>
        <w:keepNext w:val="0"/>
        <w:keepLines w:val="0"/>
        <w:widowControl/>
        <w:suppressLineNumbers w:val="0"/>
        <w:spacing w:line="360" w:lineRule="auto"/>
        <w:ind w:firstLine="5600" w:firstLineChars="2000"/>
        <w:jc w:val="left"/>
        <w:textAlignment w:val="top"/>
        <w:rPr>
          <w:rFonts w:hint="eastAsia" w:ascii="微软雅黑" w:hAnsi="微软雅黑" w:eastAsia="微软雅黑" w:cs="微软雅黑"/>
          <w:b w:val="0"/>
          <w:color w:val="333333"/>
          <w:kern w:val="0"/>
          <w:sz w:val="39"/>
          <w:szCs w:val="39"/>
          <w:lang w:val="en-US" w:eastAsia="zh-CN" w:bidi="ar"/>
        </w:rPr>
      </w:pPr>
      <w:r>
        <w:rPr>
          <w:rFonts w:hint="eastAsia" w:ascii="微软雅黑" w:hAnsi="微软雅黑" w:eastAsia="微软雅黑" w:cs="微软雅黑"/>
          <w:color w:val="000000"/>
          <w:sz w:val="28"/>
          <w:szCs w:val="28"/>
          <w:lang w:val="en-US" w:eastAsia="zh-CN"/>
        </w:rPr>
        <w:t>质管部2019.9.10</w:t>
      </w:r>
      <w:bookmarkStart w:id="0" w:name="_GoBack"/>
      <w:bookmarkEnd w:id="0"/>
    </w:p>
    <w:tbl>
      <w:tblPr>
        <w:tblStyle w:val="6"/>
        <w:tblW w:w="8306" w:type="dxa"/>
        <w:jc w:val="center"/>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jc w:val="center"/>
        </w:trPr>
        <w:tc>
          <w:tcPr>
            <w:tcW w:w="8306" w:type="dxa"/>
            <w:shd w:val="clear" w:color="auto" w:fill="auto"/>
            <w:tcMar>
              <w:top w:w="30" w:type="dxa"/>
              <w:bottom w:w="150" w:type="dxa"/>
            </w:tcMar>
            <w:vAlign w:val="top"/>
          </w:tcPr>
          <w:p>
            <w:pPr>
              <w:keepNext w:val="0"/>
              <w:keepLines w:val="0"/>
              <w:widowControl/>
              <w:suppressLineNumbers w:val="0"/>
              <w:spacing w:line="360" w:lineRule="auto"/>
              <w:jc w:val="center"/>
              <w:textAlignment w:val="top"/>
              <w:rPr>
                <w:rFonts w:ascii="微软雅黑" w:hAnsi="微软雅黑" w:eastAsia="微软雅黑" w:cs="微软雅黑"/>
                <w:b w:val="0"/>
                <w:color w:val="333333"/>
                <w:sz w:val="39"/>
                <w:szCs w:val="39"/>
              </w:rPr>
            </w:pPr>
            <w:r>
              <w:rPr>
                <w:rFonts w:hint="eastAsia" w:ascii="微软雅黑" w:hAnsi="微软雅黑" w:eastAsia="微软雅黑" w:cs="微软雅黑"/>
                <w:b w:val="0"/>
                <w:color w:val="333333"/>
                <w:kern w:val="0"/>
                <w:sz w:val="39"/>
                <w:szCs w:val="39"/>
                <w:lang w:val="en-US" w:eastAsia="zh-CN" w:bidi="ar"/>
              </w:rPr>
              <w:t>国家药监局 国家卫生健康委</w:t>
            </w:r>
            <w:r>
              <w:rPr>
                <w:rFonts w:hint="eastAsia" w:ascii="微软雅黑" w:hAnsi="微软雅黑" w:eastAsia="微软雅黑" w:cs="微软雅黑"/>
                <w:b w:val="0"/>
                <w:color w:val="333333"/>
                <w:kern w:val="0"/>
                <w:sz w:val="21"/>
                <w:szCs w:val="21"/>
                <w:lang w:val="en-US" w:eastAsia="zh-CN" w:bidi="ar"/>
              </w:rPr>
              <w:br w:type="textWrapping"/>
            </w:r>
            <w:r>
              <w:rPr>
                <w:rFonts w:hint="eastAsia" w:ascii="微软雅黑" w:hAnsi="微软雅黑" w:eastAsia="微软雅黑" w:cs="微软雅黑"/>
                <w:b w:val="0"/>
                <w:color w:val="333333"/>
                <w:kern w:val="0"/>
                <w:sz w:val="39"/>
                <w:szCs w:val="39"/>
                <w:lang w:val="en-US" w:eastAsia="zh-CN" w:bidi="ar"/>
              </w:rPr>
              <w:t xml:space="preserve">关于加强氨酚羟考酮片管理的通知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8306" w:type="dxa"/>
            <w:shd w:val="clear" w:color="auto" w:fill="auto"/>
            <w:vAlign w:val="top"/>
          </w:tcPr>
          <w:p>
            <w:pPr>
              <w:keepNext w:val="0"/>
              <w:keepLines w:val="0"/>
              <w:widowControl/>
              <w:suppressLineNumbers w:val="0"/>
              <w:spacing w:line="480" w:lineRule="auto"/>
              <w:jc w:val="center"/>
              <w:textAlignment w:val="top"/>
              <w:rPr>
                <w:rFonts w:hint="eastAsia" w:ascii="微软雅黑" w:hAnsi="微软雅黑" w:eastAsia="微软雅黑" w:cs="微软雅黑"/>
                <w:b w:val="0"/>
                <w:color w:val="333333"/>
                <w:sz w:val="27"/>
                <w:szCs w:val="27"/>
              </w:rPr>
            </w:pPr>
            <w:r>
              <w:rPr>
                <w:rFonts w:hint="eastAsia" w:ascii="微软雅黑" w:hAnsi="微软雅黑" w:eastAsia="微软雅黑" w:cs="微软雅黑"/>
                <w:b w:val="0"/>
                <w:color w:val="333333"/>
                <w:kern w:val="0"/>
                <w:sz w:val="27"/>
                <w:szCs w:val="27"/>
                <w:lang w:val="en-US" w:eastAsia="zh-CN" w:bidi="ar"/>
              </w:rPr>
              <w:t xml:space="preserve">国药监药管〔2019〕38号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8306" w:type="dxa"/>
            <w:shd w:val="clear" w:color="auto" w:fill="auto"/>
            <w:vAlign w:val="top"/>
          </w:tcPr>
          <w:tbl>
            <w:tblPr>
              <w:tblStyle w:val="6"/>
              <w:tblW w:w="2545" w:type="dxa"/>
              <w:jc w:val="right"/>
              <w:tblCellSpacing w:w="15" w:type="dxa"/>
              <w:tblInd w:w="5791" w:type="dxa"/>
              <w:shd w:val="clear" w:color="auto" w:fill="auto"/>
              <w:tblLayout w:type="fixed"/>
              <w:tblCellMar>
                <w:top w:w="0" w:type="dxa"/>
                <w:left w:w="0" w:type="dxa"/>
                <w:bottom w:w="0" w:type="dxa"/>
                <w:right w:w="0" w:type="dxa"/>
              </w:tblCellMar>
            </w:tblPr>
            <w:tblGrid>
              <w:gridCol w:w="767"/>
              <w:gridCol w:w="1778"/>
            </w:tblGrid>
            <w:tr>
              <w:tblPrEx>
                <w:shd w:val="clear" w:color="auto" w:fill="auto"/>
                <w:tblLayout w:type="fixed"/>
                <w:tblCellMar>
                  <w:top w:w="0" w:type="dxa"/>
                  <w:left w:w="0" w:type="dxa"/>
                  <w:bottom w:w="0" w:type="dxa"/>
                  <w:right w:w="0" w:type="dxa"/>
                </w:tblCellMar>
              </w:tblPrEx>
              <w:trPr>
                <w:tblCellSpacing w:w="15" w:type="dxa"/>
                <w:jc w:val="right"/>
              </w:trPr>
              <w:tc>
                <w:tcPr>
                  <w:tcW w:w="722" w:type="dxa"/>
                  <w:shd w:val="clear" w:color="auto" w:fill="auto"/>
                  <w:tcMar>
                    <w:top w:w="60" w:type="dxa"/>
                  </w:tcMar>
                  <w:vAlign w:val="top"/>
                </w:tcPr>
                <w:p>
                  <w:pPr>
                    <w:keepNext w:val="0"/>
                    <w:keepLines w:val="0"/>
                    <w:widowControl/>
                    <w:suppressLineNumbers w:val="0"/>
                    <w:spacing w:line="408" w:lineRule="auto"/>
                    <w:jc w:val="center"/>
                    <w:textAlignment w:val="top"/>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drawing>
                      <wp:inline distT="0" distB="0" distL="114300" distR="114300">
                        <wp:extent cx="228600" cy="2286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kern w:val="0"/>
                      <w:sz w:val="21"/>
                      <w:szCs w:val="21"/>
                      <w:lang w:val="en-US" w:eastAsia="zh-CN" w:bidi="ar"/>
                    </w:rPr>
                    <w:drawing>
                      <wp:inline distT="0" distB="0" distL="114300" distR="114300">
                        <wp:extent cx="228600" cy="228600"/>
                        <wp:effectExtent l="0" t="0" r="0" b="0"/>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p>
              </w:tc>
              <w:tc>
                <w:tcPr>
                  <w:tcW w:w="1733" w:type="dxa"/>
                  <w:shd w:val="clear" w:color="auto" w:fill="auto"/>
                  <w:vAlign w:val="top"/>
                </w:tcPr>
                <w:p>
                  <w:pPr>
                    <w:keepNext w:val="0"/>
                    <w:keepLines w:val="0"/>
                    <w:widowControl/>
                    <w:suppressLineNumbers w:val="0"/>
                    <w:spacing w:line="408" w:lineRule="auto"/>
                    <w:jc w:val="center"/>
                    <w:textAlignment w:val="top"/>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xml:space="preserve">    </w:t>
                  </w:r>
                  <w:r>
                    <w:rPr>
                      <w:rFonts w:hint="eastAsia" w:ascii="微软雅黑" w:hAnsi="微软雅黑" w:eastAsia="微软雅黑" w:cs="微软雅黑"/>
                      <w:color w:val="3A3A3A"/>
                      <w:sz w:val="21"/>
                      <w:szCs w:val="21"/>
                      <w:u w:val="none"/>
                    </w:rPr>
                    <w:drawing>
                      <wp:inline distT="0" distB="0" distL="114300" distR="114300">
                        <wp:extent cx="228600" cy="228600"/>
                        <wp:effectExtent l="0" t="0" r="0" b="0"/>
                        <wp:docPr id="4" name="图片 3" descr="分享到新浪微博">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分享到新浪微博"/>
                                <pic:cNvPicPr>
                                  <a:picLocks noChangeAspect="1"/>
                                </pic:cNvPicPr>
                              </pic:nvPicPr>
                              <pic:blipFill>
                                <a:blip r:embed="rId7"/>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color w:val="3A3A3A"/>
                      <w:sz w:val="21"/>
                      <w:szCs w:val="21"/>
                      <w:u w:val="none"/>
                    </w:rPr>
                    <w:drawing>
                      <wp:inline distT="0" distB="0" distL="114300" distR="114300">
                        <wp:extent cx="228600" cy="228600"/>
                        <wp:effectExtent l="0" t="0" r="0" b="0"/>
                        <wp:docPr id="3" name="图片 4" descr="分享到腾讯微博">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分享到腾讯微博"/>
                                <pic:cNvPicPr>
                                  <a:picLocks noChangeAspect="1"/>
                                </pic:cNvPicPr>
                              </pic:nvPicPr>
                              <pic:blipFill>
                                <a:blip r:embed="rId9"/>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color w:val="3A3A3A"/>
                      <w:sz w:val="21"/>
                      <w:szCs w:val="21"/>
                      <w:u w:val="none"/>
                    </w:rPr>
                    <w:drawing>
                      <wp:inline distT="0" distB="0" distL="114300" distR="114300">
                        <wp:extent cx="228600" cy="228600"/>
                        <wp:effectExtent l="0" t="0" r="0" b="0"/>
                        <wp:docPr id="5" name="图片 5" descr="分享到QQ空间">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分享到QQ空间"/>
                                <pic:cNvPicPr>
                                  <a:picLocks noChangeAspect="1"/>
                                </pic:cNvPicPr>
                              </pic:nvPicPr>
                              <pic:blipFill>
                                <a:blip r:embed="rId11"/>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color w:val="3A3A3A"/>
                      <w:sz w:val="21"/>
                      <w:szCs w:val="21"/>
                      <w:u w:val="none"/>
                    </w:rPr>
                    <w:drawing>
                      <wp:inline distT="0" distB="0" distL="114300" distR="114300">
                        <wp:extent cx="228600" cy="228600"/>
                        <wp:effectExtent l="0" t="0" r="0" b="0"/>
                        <wp:docPr id="1" name="图片 6" descr="分享到微信">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分享到微信"/>
                                <pic:cNvPicPr>
                                  <a:picLocks noChangeAspect="1"/>
                                </pic:cNvPicPr>
                              </pic:nvPicPr>
                              <pic:blipFill>
                                <a:blip r:embed="rId13"/>
                                <a:stretch>
                                  <a:fillRect/>
                                </a:stretch>
                              </pic:blipFill>
                              <pic:spPr>
                                <a:xfrm>
                                  <a:off x="0" y="0"/>
                                  <a:ext cx="228600" cy="228600"/>
                                </a:xfrm>
                                <a:prstGeom prst="rect">
                                  <a:avLst/>
                                </a:prstGeom>
                                <a:noFill/>
                                <a:ln w="9525">
                                  <a:noFill/>
                                </a:ln>
                              </pic:spPr>
                            </pic:pic>
                          </a:graphicData>
                        </a:graphic>
                      </wp:inline>
                    </w:drawing>
                  </w:r>
                </w:p>
              </w:tc>
            </w:tr>
          </w:tbl>
          <w:p>
            <w:pPr>
              <w:jc w:val="right"/>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8306" w:type="dxa"/>
            <w:shd w:val="clear" w:color="auto" w:fill="auto"/>
            <w:tcMar>
              <w:top w:w="120" w:type="dxa"/>
            </w:tcMar>
            <w:vAlign w:val="top"/>
          </w:tcPr>
          <w:p>
            <w:pPr>
              <w:keepNext w:val="0"/>
              <w:keepLines w:val="0"/>
              <w:widowControl/>
              <w:suppressLineNumbers w:val="0"/>
              <w:spacing w:line="360" w:lineRule="auto"/>
              <w:jc w:val="right"/>
              <w:textAlignment w:val="top"/>
              <w:rPr>
                <w:rFonts w:hint="eastAsia" w:ascii="微软雅黑" w:hAnsi="微软雅黑" w:eastAsia="微软雅黑" w:cs="微软雅黑"/>
                <w:color w:val="919191"/>
                <w:sz w:val="21"/>
                <w:szCs w:val="21"/>
              </w:rPr>
            </w:pPr>
            <w:r>
              <w:rPr>
                <w:rFonts w:hint="eastAsia" w:ascii="微软雅黑" w:hAnsi="微软雅黑" w:eastAsia="微软雅黑" w:cs="微软雅黑"/>
                <w:color w:val="919191"/>
                <w:kern w:val="0"/>
                <w:sz w:val="21"/>
                <w:szCs w:val="21"/>
                <w:lang w:val="en-US" w:eastAsia="zh-CN" w:bidi="ar"/>
              </w:rPr>
              <w:t xml:space="preserve">2019年08月27日 发布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 w:hRule="atLeast"/>
          <w:tblCellSpacing w:w="0" w:type="dxa"/>
          <w:jc w:val="center"/>
        </w:trPr>
        <w:tc>
          <w:tcPr>
            <w:tcW w:w="8306" w:type="dxa"/>
            <w:shd w:val="clear" w:color="auto" w:fill="auto"/>
            <w:vAlign w:val="top"/>
          </w:tcPr>
          <w:p>
            <w:pPr>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8306" w:type="dxa"/>
            <w:shd w:val="clear" w:color="auto" w:fill="auto"/>
            <w:tcMar>
              <w:top w:w="300" w:type="dxa"/>
            </w:tcMar>
            <w:vAlign w:val="top"/>
          </w:tcPr>
          <w:p>
            <w:pPr>
              <w:pStyle w:val="2"/>
              <w:keepNext w:val="0"/>
              <w:keepLines w:val="0"/>
              <w:widowControl/>
              <w:suppressLineNumbers w:val="0"/>
              <w:wordWrap/>
              <w:spacing w:line="480" w:lineRule="auto"/>
              <w:jc w:val="left"/>
              <w:rPr>
                <w:color w:val="000000"/>
                <w:sz w:val="24"/>
                <w:szCs w:val="24"/>
              </w:rPr>
            </w:pPr>
            <w:r>
              <w:rPr>
                <w:rFonts w:hint="eastAsia" w:ascii="微软雅黑" w:hAnsi="微软雅黑" w:eastAsia="微软雅黑" w:cs="微软雅黑"/>
                <w:color w:val="000000"/>
                <w:sz w:val="24"/>
                <w:szCs w:val="24"/>
              </w:rPr>
              <w:t>各省、自治区、直辖市药品监督管理局、卫生健康委，新疆生产建设兵团药品监督管理局、卫生健康委：</w:t>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4"/>
                <w:szCs w:val="24"/>
              </w:rPr>
              <w:t>　　日前，国家药监局、公安部和国家卫生健康委联合发布了《关于将含羟考酮复方制剂等品种列入精神药品管理的公告》，自2019年9月1日起施行。现将氨酚羟考酮片生产、经营和使用有关事宜通知如下：</w:t>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4"/>
                <w:szCs w:val="24"/>
              </w:rPr>
              <w:t>　　一、氨酚羟考酮片生产企业应当按照《麻醉药品和精神药品生产管理办法（试行）》（国食药监安〔2005〕528号）的要求，配备符合规定的储存条件和安全管理设施，制定相应的管理制度，于2020年1月1日前向所在地省级药品监督管理部门申请办理定点生产手续。</w:t>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4"/>
                <w:szCs w:val="24"/>
              </w:rPr>
              <w:t>　　二、自2020年1月1日起，生产和进口的氨酚羟考酮片必须在其包装和说明书上印有规定的标识。之前生产和进口的在有效期内可继续流通使用。药品标签、说明书的修改按照《药品注册管理办法》有关规定办理。</w:t>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4"/>
                <w:szCs w:val="24"/>
              </w:rPr>
              <w:t>　　</w:t>
            </w:r>
            <w:r>
              <w:rPr>
                <w:rFonts w:hint="eastAsia" w:ascii="微软雅黑" w:hAnsi="微软雅黑" w:eastAsia="微软雅黑" w:cs="微软雅黑"/>
                <w:color w:val="000000"/>
                <w:sz w:val="24"/>
                <w:szCs w:val="24"/>
                <w:highlight w:val="yellow"/>
              </w:rPr>
              <w:t>三、自2019年9月1日起，不具备第二类精神药品经营资质的企业不得再购进氨酚羟考酮片，原有库存产品登记造册报所在地设区的市级人民政府承担药品监督管理职责的部门备案后，按规定售完为止。</w:t>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4"/>
                <w:szCs w:val="24"/>
              </w:rPr>
              <w:t>　　四、自2019年9月1日起，医疗机构应当按照《麻醉药品和精神药品管理条例》等相关规定，加强对氨酚羟考酮片的管理，使用精神药品专用处方开具氨酚羟考酮片</w:t>
            </w:r>
            <w:r>
              <w:rPr>
                <w:rFonts w:hint="eastAsia" w:ascii="微软雅黑" w:hAnsi="微软雅黑" w:eastAsia="微软雅黑" w:cs="微软雅黑"/>
                <w:color w:val="000000"/>
                <w:sz w:val="24"/>
                <w:szCs w:val="24"/>
                <w:highlight w:val="none"/>
              </w:rPr>
              <w:t>，</w:t>
            </w:r>
            <w:r>
              <w:rPr>
                <w:rFonts w:hint="eastAsia" w:ascii="微软雅黑" w:hAnsi="微软雅黑" w:eastAsia="微软雅黑" w:cs="微软雅黑"/>
                <w:color w:val="000000"/>
                <w:sz w:val="24"/>
                <w:szCs w:val="24"/>
                <w:highlight w:val="yellow"/>
              </w:rPr>
              <w:t>单方处方量不得超过7日常用量。</w:t>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4"/>
                <w:szCs w:val="24"/>
              </w:rPr>
              <w:t>　　各级药品监管部门、卫生健康部门要切实履行职责，加强对氨酚羟考酮片生产、经营和使用的监管，督促有关单位严格执行上述规定，保证医疗需求，防止流入非法渠道。</w:t>
            </w:r>
          </w:p>
          <w:p>
            <w:pPr>
              <w:pStyle w:val="2"/>
              <w:keepNext w:val="0"/>
              <w:keepLines w:val="0"/>
              <w:widowControl/>
              <w:suppressLineNumbers w:val="0"/>
              <w:wordWrap/>
              <w:spacing w:line="480" w:lineRule="auto"/>
              <w:jc w:val="right"/>
              <w:rPr>
                <w:color w:val="000000"/>
                <w:sz w:val="24"/>
                <w:szCs w:val="24"/>
              </w:rPr>
            </w:pPr>
            <w:r>
              <w:rPr>
                <w:rFonts w:hint="eastAsia" w:ascii="微软雅黑" w:hAnsi="微软雅黑" w:eastAsia="微软雅黑" w:cs="微软雅黑"/>
                <w:color w:val="000000"/>
                <w:sz w:val="24"/>
                <w:szCs w:val="24"/>
              </w:rPr>
              <w:t>国家药监局　　国家卫生健康委</w:t>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4"/>
                <w:szCs w:val="24"/>
              </w:rPr>
              <w:t>2019年8月21日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8306" w:type="dxa"/>
            <w:shd w:val="clear" w:color="auto" w:fill="auto"/>
            <w:vAlign w:val="top"/>
          </w:tcPr>
          <w:p>
            <w:pPr>
              <w:jc w:val="center"/>
              <w:rPr>
                <w:rFonts w:hint="eastAsia" w:ascii="微软雅黑" w:hAnsi="微软雅黑" w:eastAsia="微软雅黑" w:cs="微软雅黑"/>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783AC9"/>
    <w:rsid w:val="3A560557"/>
    <w:rsid w:val="69EE4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line="450" w:lineRule="atLeast"/>
      <w:ind w:left="0" w:right="0"/>
      <w:jc w:val="left"/>
    </w:pPr>
    <w:rPr>
      <w:color w:val="3A3A3A"/>
      <w:kern w:val="0"/>
      <w:sz w:val="24"/>
      <w:u w:val="none"/>
      <w:lang w:val="en-US" w:eastAsia="zh-CN" w:bidi="ar"/>
    </w:rPr>
  </w:style>
  <w:style w:type="character" w:styleId="4">
    <w:name w:val="FollowedHyperlink"/>
    <w:basedOn w:val="3"/>
    <w:qFormat/>
    <w:uiPriority w:val="0"/>
    <w:rPr>
      <w:color w:val="5D5D5D"/>
      <w:u w:val="none"/>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GIF"/><Relationship Id="rId8" Type="http://schemas.openxmlformats.org/officeDocument/2006/relationships/hyperlink" Target="http://share.v.t.qq.com/index.php?c=share%26a=index%26title=%E5%9B%BD%E5%AE%B6%E8%8D%AF%E7%9B%91%E5%B1%80%20%E5%9B%BD%E5%AE%B6%E5%8D%AB%E7%94%9F%E5%81%A5%E5%BA%B7%E5%A7%94%3cbr%3e%E5%85%B3%E4%BA%8E%E5%8A%A0%E5%BC%BA%E6%B0%A8%E9%85%9A%E7%BE%9F%E8%80%83%E9%85%AE%E7%89%87%E7%AE%A1%E7%90%86%E7%9A%84%E9%80%9A%E7%9F%A5%26url=http:/www.nmpa.gov.cn/WS04/CL2196/357733.html" TargetMode="External"/><Relationship Id="rId7" Type="http://schemas.openxmlformats.org/officeDocument/2006/relationships/image" Target="media/image3.GIF"/><Relationship Id="rId6" Type="http://schemas.openxmlformats.org/officeDocument/2006/relationships/hyperlink" Target="http://v.t.sina.com.cn/share/share.php?title=%E5%9B%BD%E5%AE%B6%E8%8D%AF%E7%9B%91%E5%B1%80%20%E5%9B%BD%E5%AE%B6%E5%8D%AB%E7%94%9F%E5%81%A5%E5%BA%B7%E5%A7%94%3cbr%3e%E5%85%B3%E4%BA%8E%E5%8A%A0%E5%BC%BA%E6%B0%A8%E9%85%9A%E7%BE%9F%E8%80%83%E9%85%AE%E7%89%87%E7%AE%A1%E7%90%86%E7%9A%84%E9%80%9A%E7%9F%A5%26url=http:/www.nmpa.gov.cn/WS04/CL2196/357733.html" TargetMode="Externa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6.GIF"/><Relationship Id="rId12" Type="http://schemas.openxmlformats.org/officeDocument/2006/relationships/hyperlink" Target="../wbppcss/ewm.html?url=http:/www.nmpa.gov.cn/WS04/CL2196/357733.html%26title=%E5%9B%BD%E5%AE%B6%E8%8D%AF%E7%9B%91%E5%B1%80%20%E5%9B%BD%E5%AE%B6%E5%8D%AB%E7%94%9F%E5%81%A5%E5%BA%B7%E5%A7%94%3cbr%3e%E5%85%B3%E4%BA%8E%E5%8A%A0%E5%BC%BA%E6%B0%A8%E9%85%9A%E7%BE%9F%E8%80%83%E9%85%AE%E7%89%87%E7%AE%A1%E7%90%86%E7%9A%84%E9%80%9A%E7%9F%A5" TargetMode="External"/><Relationship Id="rId11" Type="http://schemas.openxmlformats.org/officeDocument/2006/relationships/image" Target="media/image5.GIF"/><Relationship Id="rId10" Type="http://schemas.openxmlformats.org/officeDocument/2006/relationships/hyperlink" Target="http://sns.qzone.qq.com/cgi-bin/qzshare/cgi_qzshare_onekey?url=http:/www.nmpa.gov.cn/WS04/CL2196/357733.html%26title=%E5%9B%BD%E5%AE%B6%E8%8D%AF%E7%9B%91%E5%B1%80%20%E5%9B%BD%E5%AE%B6%E5%8D%AB%E7%94%9F%E5%81%A5%E5%BA%B7%E5%A7%94%3cbr%3e%E5%85%B3%E4%BA%8E%E5%8A%A0%E5%BC%BA%E6%B0%A8%E9%85%9A%E7%BE%9F%E8%80%83%E9%85%AE%E7%89%87%E7%AE%A1%E7%90%86%E7%9A%84%E9%80%9A%E7%9F%A5%26api_key="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明登银</cp:lastModifiedBy>
  <dcterms:modified xsi:type="dcterms:W3CDTF">2019-09-19T08:32:24Z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