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9.7）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</w:tblPrEx>
        <w:trPr>
          <w:trHeight w:val="3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杨小琴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李凤霞</w:t>
      </w:r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门店会员消费占比完成情况按完成比例核算：比如门店会员消费占比完成率为80%，20分*80%=16分。（20分）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19.7）</w:t>
      </w:r>
    </w:p>
    <w:p>
      <w:pPr>
        <w:rPr>
          <w:b/>
          <w:bCs/>
          <w:sz w:val="24"/>
        </w:rPr>
      </w:pPr>
    </w:p>
    <w:p>
      <w:pPr>
        <w:jc w:val="left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  <w:r>
        <w:rPr>
          <w:rFonts w:hint="eastAsia"/>
          <w:sz w:val="28"/>
          <w:szCs w:val="28"/>
          <w:lang w:eastAsia="zh-CN"/>
        </w:rPr>
        <w:t>杨小琴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266BB5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5</TotalTime>
  <ScaleCrop>false</ScaleCrop>
  <LinksUpToDate>false</LinksUpToDate>
  <CharactersWithSpaces>1600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gigioo</cp:lastModifiedBy>
  <dcterms:modified xsi:type="dcterms:W3CDTF">2019-07-26T01:10:17Z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