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附件1：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四川太极大药房连锁有限公司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</w:rPr>
        <w:t>安全隐患整改通知书（1）</w:t>
      </w:r>
    </w:p>
    <w:p>
      <w:pPr>
        <w:spacing w:line="4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 xml:space="preserve"> 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参加检查人员：                                                                                检查时间：2019年1月</w:t>
      </w:r>
    </w:p>
    <w:tbl>
      <w:tblPr>
        <w:tblStyle w:val="2"/>
        <w:tblW w:w="15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05"/>
        <w:gridCol w:w="3600"/>
        <w:gridCol w:w="5535"/>
        <w:gridCol w:w="1335"/>
        <w:gridCol w:w="885"/>
        <w:gridCol w:w="84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排查部位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隐患情况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整改期限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协同部门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处罚及扣分情况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中和柳荫街店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1、安全巡查记录本登记不规范。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1、每日巡查记录中，所检查的内容都“正常”时，其“隐患整改”一栏中，应空格，不得填写“隐患已整改”）。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已现场整改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王芳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罚款10元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金丝街店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2、保险柜钥匙使用后，其钥匙仍插在保险柜锁上。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1、保险柜钥匙使用后，及时取下钥匙妥善保管。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已现场整改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黄娟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罚款10元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东大街店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监控系统有3个故障；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4、中药区贵细壁柜无锁扣；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5、后区部分衣柜门或锁损坏；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6、健康关爱中心一个烟感探测器遗失。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1、对监控系统3个故障点，进行维护；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2、对中药区贵细壁柜安装锁扣，并上锁管理；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3、后区部分对部分损坏的衣柜门、锁进行维修；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4、该中心吊顶处只有烟感器的一个底座，而无烟感探测器，联系酒店物管部或保安部，安装一个。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项已整改；第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项在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月底前整改；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谭庆娟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监控工程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物管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罚款40元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扣2.0分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柳翠路店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7、收银台电脑主机上放有易燃杂物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1、收银台电脑主机上或旁边不得放易燃杂物，清理。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已现场整改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宋留艺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罚款10元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榕声路店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8、梯子上端固定支撑架的螺丝杆脱落后，采用铁丝包扎，存在安全隐患。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1、采用螺丝杆配件，对梯子支撑架进行固定。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日前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曾佳丽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罚款10元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天久北巷店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9、交班本中无“安全交接的文字记录”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1、每天交接班时，应在交班本中记录当日的安全交接情况。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已现场整改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张芙蓉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罚款10元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沙河源店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10、后区通道、卫生间的照明灯，人走未及时关电源。</w:t>
            </w:r>
          </w:p>
        </w:tc>
        <w:tc>
          <w:tcPr>
            <w:tcW w:w="5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1、后区通道（卫生间等），无人状态下要做到人走关灯，节约能源。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已现场整改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杨素芬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罚款10元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147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按规定时间及内容内完成整改，并在整改完成后填写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“安全隐患整改回复书”</w:t>
            </w:r>
            <w:r>
              <w:rPr>
                <w:rFonts w:hint="eastAsia" w:ascii="宋体" w:hAnsi="宋体" w:eastAsia="宋体" w:cs="Times New Roman"/>
                <w:szCs w:val="21"/>
              </w:rPr>
              <w:t>及“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整改后的现场照片</w:t>
            </w:r>
            <w:r>
              <w:rPr>
                <w:rFonts w:hint="eastAsia" w:ascii="宋体" w:hAnsi="宋体" w:eastAsia="宋体" w:cs="Times New Roman"/>
                <w:szCs w:val="21"/>
              </w:rPr>
              <w:t>”，发送保卫科邮箱（归档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销号</w:t>
            </w:r>
            <w:r>
              <w:rPr>
                <w:rFonts w:hint="eastAsia" w:ascii="宋体" w:hAnsi="宋体" w:eastAsia="宋体" w:cs="Times New Roman"/>
                <w:szCs w:val="21"/>
              </w:rPr>
              <w:t>）。对未及时整改和回复的部门、门店，将对其责任人另行处罚，并纳入月绩效、年终安全目标考核。</w:t>
            </w:r>
          </w:p>
        </w:tc>
      </w:tr>
    </w:tbl>
    <w:p>
      <w:pPr>
        <w:spacing w:before="100" w:beforeAutospacing="1" w:after="100" w:afterAutospacing="1"/>
        <w:ind w:firstLine="210" w:firstLineChars="1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制表：综合管理部保卫科</w:t>
      </w:r>
    </w:p>
    <w:p/>
    <w:sectPr>
      <w:pgSz w:w="16838" w:h="11906" w:orient="landscape"/>
      <w:pgMar w:top="70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7137"/>
    <w:multiLevelType w:val="multilevel"/>
    <w:tmpl w:val="42947137"/>
    <w:lvl w:ilvl="0" w:tentative="0">
      <w:start w:val="3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F8"/>
    <w:rsid w:val="00774845"/>
    <w:rsid w:val="00A50DF8"/>
    <w:rsid w:val="0BCE4CD9"/>
    <w:rsid w:val="4AE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153</Words>
  <Characters>878</Characters>
  <Lines>7</Lines>
  <Paragraphs>2</Paragraphs>
  <TotalTime>2</TotalTime>
  <ScaleCrop>false</ScaleCrop>
  <LinksUpToDate>false</LinksUpToDate>
  <CharactersWithSpaces>1029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2019-03-07T02:47:00Z</dcterms:created>
  <dc:creator>Administrator</dc:creator>
  <cp:lastModifiedBy>Administrator</cp:lastModifiedBy>
  <dcterms:modified xsi:type="dcterms:W3CDTF">2019-03-07T03:24:16Z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