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345" w:tblpY="993"/>
        <w:tblOverlap w:val="never"/>
        <w:tblW w:w="11013" w:type="dxa"/>
        <w:tblInd w:w="0" w:type="dxa"/>
        <w:tblLayout w:type="fixed"/>
        <w:tblCellMar>
          <w:top w:w="15" w:type="dxa"/>
          <w:left w:w="15" w:type="dxa"/>
          <w:bottom w:w="15" w:type="dxa"/>
          <w:right w:w="15" w:type="dxa"/>
        </w:tblCellMar>
      </w:tblPr>
      <w:tblGrid>
        <w:gridCol w:w="1289"/>
        <w:gridCol w:w="676"/>
        <w:gridCol w:w="6817"/>
        <w:gridCol w:w="585"/>
        <w:gridCol w:w="645"/>
        <w:gridCol w:w="612"/>
        <w:gridCol w:w="389"/>
      </w:tblGrid>
      <w:tr>
        <w:tblPrEx>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u w:val="single"/>
              </w:rPr>
              <w:t>2019</w:t>
            </w:r>
            <w:r>
              <w:rPr>
                <w:rFonts w:hint="eastAsia" w:ascii="仿宋_GB2312" w:hAnsi="仿宋_GB2312" w:eastAsia="仿宋_GB2312" w:cs="仿宋_GB2312"/>
                <w:b/>
                <w:color w:val="000000"/>
                <w:kern w:val="0"/>
                <w:sz w:val="18"/>
                <w:szCs w:val="18"/>
              </w:rPr>
              <w:t>年</w:t>
            </w:r>
            <w:r>
              <w:rPr>
                <w:rFonts w:hint="eastAsia" w:ascii="仿宋_GB2312" w:hAnsi="仿宋_GB2312" w:eastAsia="仿宋_GB2312" w:cs="仿宋_GB2312"/>
                <w:b/>
                <w:color w:val="000000"/>
                <w:kern w:val="0"/>
                <w:sz w:val="18"/>
                <w:szCs w:val="18"/>
                <w:lang w:val="en-US" w:eastAsia="zh-CN"/>
              </w:rPr>
              <w:t>12</w:t>
            </w:r>
            <w:r>
              <w:rPr>
                <w:rFonts w:hint="eastAsia" w:ascii="仿宋_GB2312" w:hAnsi="仿宋_GB2312" w:eastAsia="仿宋_GB2312" w:cs="仿宋_GB2312"/>
                <w:b/>
                <w:color w:val="000000"/>
                <w:kern w:val="0"/>
                <w:sz w:val="18"/>
                <w:szCs w:val="18"/>
              </w:rPr>
              <w:t>月片区主管绩效考核表</w:t>
            </w:r>
          </w:p>
        </w:tc>
      </w:tr>
      <w:tr>
        <w:tblPrEx>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widowControl/>
              <w:jc w:val="left"/>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片区主管：                          时间：   年  月 日到  年  月 日</w:t>
            </w:r>
          </w:p>
        </w:tc>
      </w:tr>
      <w:tr>
        <w:tblPrEx>
          <w:tblCellMar>
            <w:top w:w="15" w:type="dxa"/>
            <w:left w:w="15" w:type="dxa"/>
            <w:bottom w:w="15" w:type="dxa"/>
            <w:right w:w="15" w:type="dxa"/>
          </w:tblCellMar>
        </w:tblPrEx>
        <w:trPr>
          <w:trHeight w:val="339" w:hRule="atLeast"/>
        </w:trPr>
        <w:tc>
          <w:tcPr>
            <w:tcW w:w="1289"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指标维度</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考核来源</w:t>
            </w:r>
          </w:p>
        </w:tc>
      </w:tr>
      <w:tr>
        <w:tblPrEx>
          <w:tblCellMar>
            <w:top w:w="15" w:type="dxa"/>
            <w:left w:w="15" w:type="dxa"/>
            <w:bottom w:w="15" w:type="dxa"/>
            <w:right w:w="15" w:type="dxa"/>
          </w:tblCellMar>
        </w:tblPrEx>
        <w:trPr>
          <w:trHeight w:val="831"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工作</w:t>
            </w:r>
          </w:p>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目标</w:t>
            </w:r>
          </w:p>
        </w:tc>
        <w:tc>
          <w:tcPr>
            <w:tcW w:w="676" w:type="dxa"/>
            <w:tcBorders>
              <w:top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会员管理</w:t>
            </w:r>
          </w:p>
        </w:tc>
        <w:tc>
          <w:tcPr>
            <w:tcW w:w="6817"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1：片区新增会员完成情况，未完成0分。（2分）2：会员笔数占比完成情况（3分）</w:t>
            </w:r>
          </w:p>
        </w:tc>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kern w:val="0"/>
                <w:sz w:val="18"/>
                <w:szCs w:val="18"/>
                <w:lang w:val="en-US" w:eastAsia="zh-CN"/>
              </w:rPr>
              <w:t>3</w:t>
            </w:r>
          </w:p>
        </w:tc>
        <w:tc>
          <w:tcPr>
            <w:tcW w:w="645" w:type="dxa"/>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w:t>
            </w:r>
          </w:p>
        </w:tc>
      </w:tr>
      <w:tr>
        <w:tblPrEx>
          <w:tblCellMar>
            <w:top w:w="15" w:type="dxa"/>
            <w:left w:w="15" w:type="dxa"/>
            <w:bottom w:w="15" w:type="dxa"/>
            <w:right w:w="15" w:type="dxa"/>
          </w:tblCellMar>
        </w:tblPrEx>
        <w:trPr>
          <w:trHeight w:val="634"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top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3</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质管部</w:t>
            </w:r>
          </w:p>
        </w:tc>
      </w:tr>
      <w:tr>
        <w:tblPrEx>
          <w:tblCellMar>
            <w:top w:w="15" w:type="dxa"/>
            <w:left w:w="15" w:type="dxa"/>
            <w:bottom w:w="15" w:type="dxa"/>
            <w:right w:w="15" w:type="dxa"/>
          </w:tblCellMar>
        </w:tblPrEx>
        <w:trPr>
          <w:trHeight w:val="657"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重大处罚含顾客投诉</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1：全月无顾客投诉。如当月有顾客投诉，每投诉一次该项目不得分。（3分）如涉及经济损失的，根据损失金额大小承担相应赔偿责任:2：营运部及公司其他部门发文涉及处罚事件</w:t>
            </w:r>
          </w:p>
        </w:tc>
        <w:tc>
          <w:tcPr>
            <w:tcW w:w="585"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3</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营运部</w:t>
            </w:r>
          </w:p>
        </w:tc>
      </w:tr>
      <w:tr>
        <w:tblPrEx>
          <w:tblCellMar>
            <w:top w:w="15" w:type="dxa"/>
            <w:left w:w="15" w:type="dxa"/>
            <w:bottom w:w="15" w:type="dxa"/>
            <w:right w:w="15" w:type="dxa"/>
          </w:tblCellMar>
        </w:tblPrEx>
        <w:trPr>
          <w:trHeight w:val="1425" w:hRule="atLeast"/>
        </w:trPr>
        <w:tc>
          <w:tcPr>
            <w:tcW w:w="1289"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安全事故</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3</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保卫部</w:t>
            </w:r>
          </w:p>
        </w:tc>
      </w:tr>
      <w:tr>
        <w:tblPrEx>
          <w:tblCellMar>
            <w:top w:w="15" w:type="dxa"/>
            <w:left w:w="15" w:type="dxa"/>
            <w:bottom w:w="15" w:type="dxa"/>
            <w:right w:w="15" w:type="dxa"/>
          </w:tblCellMar>
        </w:tblPrEx>
        <w:trPr>
          <w:trHeight w:val="654" w:hRule="atLeast"/>
        </w:trPr>
        <w:tc>
          <w:tcPr>
            <w:tcW w:w="1289"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巡店情况</w:t>
            </w:r>
          </w:p>
        </w:tc>
        <w:tc>
          <w:tcPr>
            <w:tcW w:w="6817" w:type="dxa"/>
            <w:tcBorders>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FF"/>
                <w:kern w:val="0"/>
                <w:sz w:val="18"/>
                <w:szCs w:val="18"/>
                <w:lang w:eastAsia="zh-CN"/>
              </w:rPr>
              <w:t>西北片区、东南片区、城中片区</w:t>
            </w:r>
            <w:r>
              <w:rPr>
                <w:rFonts w:hint="eastAsia" w:ascii="仿宋_GB2312" w:hAnsi="仿宋_GB2312" w:eastAsia="仿宋_GB2312" w:cs="仿宋_GB2312"/>
                <w:color w:val="0000FF"/>
                <w:kern w:val="0"/>
                <w:sz w:val="18"/>
                <w:szCs w:val="18"/>
              </w:rPr>
              <w:t>所有门店巡店不少于</w:t>
            </w:r>
            <w:r>
              <w:rPr>
                <w:rFonts w:hint="eastAsia" w:ascii="仿宋_GB2312" w:hAnsi="仿宋_GB2312" w:eastAsia="仿宋_GB2312" w:cs="仿宋_GB2312"/>
                <w:color w:val="0000FF"/>
                <w:kern w:val="0"/>
                <w:sz w:val="18"/>
                <w:szCs w:val="18"/>
                <w:lang w:eastAsia="zh-CN"/>
              </w:rPr>
              <w:t>一</w:t>
            </w:r>
            <w:r>
              <w:rPr>
                <w:rFonts w:hint="eastAsia" w:ascii="仿宋_GB2312" w:hAnsi="仿宋_GB2312" w:eastAsia="仿宋_GB2312" w:cs="仿宋_GB2312"/>
                <w:color w:val="0000FF"/>
                <w:kern w:val="0"/>
                <w:sz w:val="18"/>
                <w:szCs w:val="18"/>
              </w:rPr>
              <w:t>次巡店，</w:t>
            </w:r>
            <w:r>
              <w:rPr>
                <w:rFonts w:hint="eastAsia" w:ascii="仿宋_GB2312" w:hAnsi="仿宋_GB2312" w:eastAsia="仿宋_GB2312" w:cs="仿宋_GB2312"/>
                <w:color w:val="0000FF"/>
                <w:kern w:val="0"/>
                <w:sz w:val="18"/>
                <w:szCs w:val="18"/>
                <w:lang w:eastAsia="zh-CN"/>
              </w:rPr>
              <w:t>其余片区主管所有门店不少于</w:t>
            </w:r>
            <w:r>
              <w:rPr>
                <w:rFonts w:hint="eastAsia" w:ascii="仿宋_GB2312" w:hAnsi="仿宋_GB2312" w:eastAsia="仿宋_GB2312" w:cs="仿宋_GB2312"/>
                <w:color w:val="0000FF"/>
                <w:kern w:val="0"/>
                <w:sz w:val="18"/>
                <w:szCs w:val="18"/>
                <w:lang w:val="en-US" w:eastAsia="zh-CN"/>
              </w:rPr>
              <w:t>2次新店。</w:t>
            </w:r>
            <w:r>
              <w:rPr>
                <w:rFonts w:hint="eastAsia" w:ascii="仿宋_GB2312" w:hAnsi="仿宋_GB2312" w:eastAsia="仿宋_GB2312" w:cs="仿宋_GB2312"/>
                <w:color w:val="0000FF"/>
                <w:kern w:val="0"/>
                <w:sz w:val="18"/>
                <w:szCs w:val="18"/>
              </w:rPr>
              <w:t>以巡店万店掌检核门店数核定。少一家扣1分（以万店掌核实</w:t>
            </w:r>
            <w:r>
              <w:rPr>
                <w:rFonts w:hint="eastAsia" w:ascii="仿宋_GB2312" w:hAnsi="仿宋_GB2312" w:eastAsia="仿宋_GB2312" w:cs="仿宋_GB2312"/>
                <w:kern w:val="0"/>
                <w:sz w:val="18"/>
                <w:szCs w:val="18"/>
              </w:rPr>
              <w:t>）</w:t>
            </w:r>
          </w:p>
        </w:tc>
        <w:tc>
          <w:tcPr>
            <w:tcW w:w="585" w:type="dxa"/>
            <w:tcBorders>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645" w:type="dxa"/>
            <w:tcBorders>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w:t>
            </w:r>
          </w:p>
        </w:tc>
      </w:tr>
      <w:tr>
        <w:tblPrEx>
          <w:tblCellMar>
            <w:top w:w="15" w:type="dxa"/>
            <w:left w:w="15" w:type="dxa"/>
            <w:bottom w:w="15" w:type="dxa"/>
            <w:right w:w="15" w:type="dxa"/>
          </w:tblCellMar>
        </w:tblPrEx>
        <w:trPr>
          <w:trHeight w:val="4188"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1：门店销售下滑应到店分析原因并立即制定增量方案以及销售恢复情况或门店周边竞争对手有活动未采取措施的（2分）</w:t>
            </w:r>
          </w:p>
          <w:p>
            <w:pPr>
              <w:widowControl/>
              <w:jc w:val="left"/>
              <w:textAlignment w:val="center"/>
              <w:rPr>
                <w:rFonts w:ascii="仿宋_GB2312" w:hAnsi="仿宋_GB2312" w:eastAsia="仿宋_GB2312" w:cs="仿宋_GB2312"/>
                <w:color w:val="7030A0"/>
                <w:kern w:val="0"/>
                <w:sz w:val="18"/>
                <w:szCs w:val="18"/>
              </w:rPr>
            </w:pPr>
            <w:r>
              <w:rPr>
                <w:rFonts w:hint="eastAsia" w:ascii="仿宋_GB2312" w:hAnsi="仿宋_GB2312" w:eastAsia="仿宋_GB2312" w:cs="仿宋_GB2312"/>
                <w:color w:val="7030A0"/>
                <w:kern w:val="0"/>
                <w:sz w:val="18"/>
                <w:szCs w:val="18"/>
              </w:rPr>
              <w:t>2:药店管家使用情况（10分）药店管家</w:t>
            </w:r>
            <w:r>
              <w:rPr>
                <w:rFonts w:hint="eastAsia" w:ascii="仿宋_GB2312" w:hAnsi="仿宋_GB2312" w:eastAsia="仿宋_GB2312" w:cs="仿宋_GB2312"/>
                <w:color w:val="7030A0"/>
                <w:kern w:val="0"/>
                <w:sz w:val="18"/>
                <w:szCs w:val="18"/>
                <w:lang w:eastAsia="zh-CN"/>
              </w:rPr>
              <w:t>门店整改回复及时性</w:t>
            </w:r>
            <w:r>
              <w:rPr>
                <w:rFonts w:hint="eastAsia" w:ascii="仿宋_GB2312" w:hAnsi="仿宋_GB2312" w:eastAsia="仿宋_GB2312" w:cs="仿宋_GB2312"/>
                <w:color w:val="7030A0"/>
                <w:kern w:val="0"/>
                <w:sz w:val="18"/>
                <w:szCs w:val="18"/>
              </w:rPr>
              <w:t>、任务布置和点检</w:t>
            </w:r>
          </w:p>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：门店活动扣分项（5分），加分项不超</w:t>
            </w:r>
            <w:bookmarkStart w:id="0" w:name="_GoBack"/>
            <w:bookmarkEnd w:id="0"/>
            <w:r>
              <w:rPr>
                <w:rFonts w:hint="eastAsia" w:ascii="仿宋_GB2312" w:hAnsi="仿宋_GB2312" w:eastAsia="仿宋_GB2312" w:cs="仿宋_GB2312"/>
                <w:color w:val="auto"/>
                <w:kern w:val="0"/>
                <w:sz w:val="18"/>
                <w:szCs w:val="18"/>
              </w:rPr>
              <w:t>过5分。</w:t>
            </w:r>
          </w:p>
          <w:p>
            <w:pPr>
              <w:widowControl/>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：片区</w:t>
            </w:r>
            <w:r>
              <w:rPr>
                <w:rFonts w:hint="eastAsia" w:ascii="仿宋_GB2312" w:hAnsi="仿宋_GB2312" w:eastAsia="仿宋_GB2312" w:cs="仿宋_GB2312"/>
                <w:color w:val="auto"/>
                <w:kern w:val="0"/>
                <w:sz w:val="18"/>
                <w:szCs w:val="18"/>
                <w:lang w:eastAsia="zh-CN"/>
              </w:rPr>
              <w:t>乐陶陶认购活动（</w:t>
            </w:r>
            <w:r>
              <w:rPr>
                <w:rFonts w:hint="eastAsia" w:ascii="仿宋_GB2312" w:hAnsi="仿宋_GB2312" w:eastAsia="仿宋_GB2312" w:cs="仿宋_GB2312"/>
                <w:color w:val="auto"/>
                <w:kern w:val="0"/>
                <w:sz w:val="18"/>
                <w:szCs w:val="18"/>
                <w:lang w:val="en-US" w:eastAsia="zh-CN"/>
              </w:rPr>
              <w:t>5分</w:t>
            </w:r>
            <w:r>
              <w:rPr>
                <w:rFonts w:hint="eastAsia" w:ascii="仿宋_GB2312" w:hAnsi="仿宋_GB2312" w:eastAsia="仿宋_GB2312" w:cs="仿宋_GB2312"/>
                <w:color w:val="auto"/>
                <w:kern w:val="0"/>
                <w:sz w:val="18"/>
                <w:szCs w:val="18"/>
                <w:lang w:eastAsia="zh-CN"/>
              </w:rPr>
              <w:t>）</w:t>
            </w:r>
          </w:p>
          <w:p>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5：片区葵花护肝片认购活动</w:t>
            </w:r>
            <w:r>
              <w:rPr>
                <w:rFonts w:hint="eastAsia" w:ascii="仿宋_GB2312" w:hAnsi="仿宋_GB2312" w:eastAsia="仿宋_GB2312" w:cs="仿宋_GB2312"/>
                <w:color w:val="auto"/>
                <w:kern w:val="0"/>
                <w:sz w:val="18"/>
                <w:szCs w:val="18"/>
              </w:rPr>
              <w:t>（ 5分）。全部完成（+10分）</w:t>
            </w:r>
          </w:p>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门店基础管理执行情况（</w:t>
            </w:r>
            <w:r>
              <w:rPr>
                <w:rFonts w:hint="eastAsia" w:ascii="仿宋_GB2312" w:hAnsi="仿宋_GB2312" w:eastAsia="仿宋_GB2312" w:cs="仿宋_GB2312"/>
                <w:color w:val="auto"/>
                <w:kern w:val="0"/>
                <w:sz w:val="18"/>
                <w:szCs w:val="18"/>
                <w:lang w:val="en-US" w:eastAsia="zh-CN"/>
              </w:rPr>
              <w:t>10</w:t>
            </w:r>
            <w:r>
              <w:rPr>
                <w:rFonts w:hint="eastAsia" w:ascii="仿宋_GB2312" w:hAnsi="仿宋_GB2312" w:eastAsia="仿宋_GB2312" w:cs="仿宋_GB2312"/>
                <w:color w:val="auto"/>
                <w:kern w:val="0"/>
                <w:sz w:val="18"/>
                <w:szCs w:val="18"/>
              </w:rPr>
              <w:t>分）（巡店平均分）详见明细表。</w:t>
            </w:r>
          </w:p>
          <w:p>
            <w:pPr>
              <w:widowControl/>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6：天胶当月完成情况（5）</w:t>
            </w:r>
          </w:p>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 xml:space="preserve">6: </w:t>
            </w:r>
            <w:r>
              <w:rPr>
                <w:rFonts w:hint="eastAsia" w:ascii="仿宋_GB2312" w:hAnsi="仿宋_GB2312" w:eastAsia="仿宋_GB2312" w:cs="仿宋_GB2312"/>
                <w:color w:val="auto"/>
                <w:kern w:val="0"/>
                <w:sz w:val="18"/>
                <w:szCs w:val="18"/>
              </w:rPr>
              <w:t>片区会员消费占比分门店完成情况（如共20家店，只有15家完</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=15/20=0.75*100%=75%，分数=20*0.75=15分）（1</w:t>
            </w:r>
            <w:r>
              <w:rPr>
                <w:rFonts w:hint="eastAsia" w:ascii="仿宋_GB2312" w:hAnsi="仿宋_GB2312" w:eastAsia="仿宋_GB2312" w:cs="仿宋_GB2312"/>
                <w:color w:val="auto"/>
                <w:kern w:val="0"/>
                <w:sz w:val="18"/>
                <w:szCs w:val="18"/>
                <w:lang w:val="en-US" w:eastAsia="zh-CN"/>
              </w:rPr>
              <w:t>0</w:t>
            </w:r>
            <w:r>
              <w:rPr>
                <w:rFonts w:hint="eastAsia" w:ascii="仿宋_GB2312" w:hAnsi="仿宋_GB2312" w:eastAsia="仿宋_GB2312" w:cs="仿宋_GB2312"/>
                <w:color w:val="auto"/>
                <w:kern w:val="0"/>
                <w:sz w:val="18"/>
                <w:szCs w:val="18"/>
              </w:rPr>
              <w:t>分）</w:t>
            </w:r>
          </w:p>
          <w:p>
            <w:pPr>
              <w:widowControl/>
              <w:jc w:val="left"/>
              <w:textAlignment w:val="cente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t>7：门店错误档案完成情况（3分）巡店检查门店有一家未执行扣一分。</w:t>
            </w:r>
          </w:p>
          <w:p>
            <w:pPr>
              <w:widowControl/>
              <w:jc w:val="left"/>
              <w:textAlignment w:val="cente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t>8：门店微信圈手机备注情况（3分）巡店检查门店有一家未执行，该项目扣一分。</w:t>
            </w:r>
          </w:p>
          <w:p>
            <w:pPr>
              <w:widowControl/>
              <w:jc w:val="left"/>
              <w:textAlignment w:val="center"/>
              <w:rPr>
                <w:rFonts w:hint="default"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pPr>
            <w:r>
              <w:rPr>
                <w:rFonts w:hint="eastAsia" w:ascii="仿宋_GB2312" w:hAnsi="仿宋_GB2312" w:eastAsia="仿宋_GB2312" w:cs="仿宋_GB2312"/>
                <w:b/>
                <w:bCs/>
                <w:color w:val="auto"/>
                <w:kern w:val="0"/>
                <w:sz w:val="18"/>
                <w:szCs w:val="18"/>
                <w:highlight w:val="none"/>
                <w:lang w:val="en-US" w:eastAsia="zh-CN"/>
                <w14:textFill>
                  <w14:gradFill>
                    <w14:gsLst>
                      <w14:gs w14:pos="0">
                        <w14:srgbClr w14:val="14CD68"/>
                      </w14:gs>
                      <w14:gs w14:pos="100000">
                        <w14:srgbClr w14:val="0B6E38"/>
                      </w14:gs>
                    </w14:gsLst>
                    <w14:lin w14:scaled="0"/>
                  </w14:gradFill>
                </w14:textFill>
              </w:rPr>
              <w:t>9：门店录入各种任务准确性（10分）错误一家门店扣1分。</w:t>
            </w:r>
          </w:p>
          <w:p>
            <w:pPr>
              <w:widowControl/>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10：片区毛利率环比提升0.5%＋1分（加分项）</w:t>
            </w:r>
          </w:p>
          <w:p>
            <w:pPr>
              <w:widowControl/>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11：片区毛利率环比下降0.5%，扣1分（5分）</w:t>
            </w:r>
          </w:p>
          <w:p>
            <w:pPr>
              <w:widowControl/>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12;</w:t>
            </w:r>
            <w:r>
              <w:rPr>
                <w:rFonts w:hint="eastAsia" w:ascii="仿宋_GB2312" w:hAnsi="仿宋_GB2312" w:eastAsia="仿宋_GB2312" w:cs="仿宋_GB2312"/>
                <w:color w:val="auto"/>
                <w:kern w:val="0"/>
                <w:sz w:val="18"/>
                <w:szCs w:val="18"/>
              </w:rPr>
              <w:t>片区门店培养一个店长+5分（加分项）</w:t>
            </w:r>
            <w:r>
              <w:rPr>
                <w:rFonts w:hint="eastAsia" w:ascii="仿宋_GB2312" w:hAnsi="仿宋_GB2312" w:eastAsia="仿宋_GB2312" w:cs="仿宋_GB2312"/>
                <w:color w:val="auto"/>
                <w:kern w:val="0"/>
                <w:sz w:val="18"/>
                <w:szCs w:val="18"/>
                <w:lang w:eastAsia="zh-CN"/>
              </w:rPr>
              <w:t>不论是本片区还是其他片区任职均可。</w:t>
            </w:r>
          </w:p>
          <w:p>
            <w:pPr>
              <w:widowControl/>
              <w:jc w:val="left"/>
              <w:textAlignment w:val="center"/>
              <w:rPr>
                <w:rFonts w:hint="eastAsia" w:ascii="仿宋_GB2312" w:hAnsi="仿宋_GB2312" w:eastAsia="仿宋_GB2312" w:cs="仿宋_GB2312"/>
                <w:color w:val="auto"/>
                <w:kern w:val="0"/>
                <w:sz w:val="18"/>
                <w:szCs w:val="18"/>
                <w:lang w:val="en-US" w:eastAsia="zh-CN"/>
              </w:rPr>
            </w:pPr>
          </w:p>
          <w:p>
            <w:pPr>
              <w:widowControl/>
              <w:jc w:val="left"/>
              <w:textAlignment w:val="center"/>
              <w:rPr>
                <w:rFonts w:hint="default" w:ascii="仿宋_GB2312" w:hAnsi="仿宋_GB2312" w:eastAsia="仿宋_GB2312" w:cs="仿宋_GB2312"/>
                <w:color w:val="7030A0"/>
                <w:kern w:val="0"/>
                <w:sz w:val="18"/>
                <w:szCs w:val="18"/>
                <w:lang w:val="en-US" w:eastAsia="zh-CN"/>
              </w:rPr>
            </w:pPr>
          </w:p>
          <w:p>
            <w:pPr>
              <w:widowControl/>
              <w:jc w:val="left"/>
              <w:textAlignment w:val="center"/>
              <w:rPr>
                <w:rFonts w:ascii="仿宋_GB2312" w:hAnsi="仿宋_GB2312" w:eastAsia="仿宋_GB2312" w:cs="仿宋_GB2312"/>
                <w:color w:val="auto"/>
                <w:kern w:val="0"/>
                <w:sz w:val="18"/>
                <w:szCs w:val="18"/>
              </w:rPr>
            </w:pP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eastAsia="zh-CN"/>
              </w:rPr>
              <w:t>73</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营运部等部门确定</w:t>
            </w:r>
          </w:p>
        </w:tc>
      </w:tr>
      <w:tr>
        <w:tblPrEx>
          <w:tblCellMar>
            <w:top w:w="15" w:type="dxa"/>
            <w:left w:w="15" w:type="dxa"/>
            <w:bottom w:w="15" w:type="dxa"/>
            <w:right w:w="15" w:type="dxa"/>
          </w:tblCellMar>
        </w:tblPrEx>
        <w:trPr>
          <w:trHeight w:val="6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其他部门工作执行力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商品部</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5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其他部门工作执行力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采购部</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tblPrEx>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kern w:val="0"/>
                <w:sz w:val="18"/>
                <w:szCs w:val="18"/>
              </w:rPr>
            </w:pPr>
          </w:p>
        </w:tc>
      </w:tr>
      <w:tr>
        <w:tblPrEx>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tcPr>
          <w:p>
            <w:pPr>
              <w:widowControl/>
              <w:jc w:val="left"/>
              <w:textAlignment w:val="top"/>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上月绩效需改进的方面：                                              被考核责任人签字：</w:t>
            </w:r>
          </w:p>
        </w:tc>
      </w:tr>
      <w:tr>
        <w:tblPrEx>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 被考核责任人：                 人事部：               总经理：                  董事长：</w:t>
            </w:r>
          </w:p>
        </w:tc>
      </w:tr>
    </w:tbl>
    <w:p>
      <w:pPr>
        <w:rPr>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002EAD"/>
    <w:rsid w:val="00050BC1"/>
    <w:rsid w:val="000B0EB7"/>
    <w:rsid w:val="000C5262"/>
    <w:rsid w:val="0010232B"/>
    <w:rsid w:val="00135801"/>
    <w:rsid w:val="001567F5"/>
    <w:rsid w:val="00164A64"/>
    <w:rsid w:val="00172F74"/>
    <w:rsid w:val="001A08E8"/>
    <w:rsid w:val="001D6870"/>
    <w:rsid w:val="001F7144"/>
    <w:rsid w:val="0021191E"/>
    <w:rsid w:val="00217ADD"/>
    <w:rsid w:val="00227249"/>
    <w:rsid w:val="00243A8B"/>
    <w:rsid w:val="00260BA7"/>
    <w:rsid w:val="00281D2F"/>
    <w:rsid w:val="00281E7E"/>
    <w:rsid w:val="00287D1C"/>
    <w:rsid w:val="002A726C"/>
    <w:rsid w:val="002C65CE"/>
    <w:rsid w:val="002E0EA5"/>
    <w:rsid w:val="00321579"/>
    <w:rsid w:val="0032676C"/>
    <w:rsid w:val="00352359"/>
    <w:rsid w:val="00354EE6"/>
    <w:rsid w:val="00357279"/>
    <w:rsid w:val="00392065"/>
    <w:rsid w:val="00393AFD"/>
    <w:rsid w:val="003B0EE2"/>
    <w:rsid w:val="003B73EC"/>
    <w:rsid w:val="003E18A3"/>
    <w:rsid w:val="0042676C"/>
    <w:rsid w:val="00434EB1"/>
    <w:rsid w:val="00436872"/>
    <w:rsid w:val="004415CE"/>
    <w:rsid w:val="00453E3B"/>
    <w:rsid w:val="0046140F"/>
    <w:rsid w:val="00461496"/>
    <w:rsid w:val="0046377E"/>
    <w:rsid w:val="004740E9"/>
    <w:rsid w:val="00477358"/>
    <w:rsid w:val="004910DB"/>
    <w:rsid w:val="00505C1D"/>
    <w:rsid w:val="00530AB4"/>
    <w:rsid w:val="0053412F"/>
    <w:rsid w:val="00557194"/>
    <w:rsid w:val="00565789"/>
    <w:rsid w:val="005730FD"/>
    <w:rsid w:val="005A5805"/>
    <w:rsid w:val="005B3884"/>
    <w:rsid w:val="005D082F"/>
    <w:rsid w:val="00601BF7"/>
    <w:rsid w:val="0061764F"/>
    <w:rsid w:val="006356B3"/>
    <w:rsid w:val="00637D98"/>
    <w:rsid w:val="00665E59"/>
    <w:rsid w:val="00683458"/>
    <w:rsid w:val="006B1588"/>
    <w:rsid w:val="006C32E2"/>
    <w:rsid w:val="006C6564"/>
    <w:rsid w:val="006D2BF8"/>
    <w:rsid w:val="006D37DD"/>
    <w:rsid w:val="006E2DAF"/>
    <w:rsid w:val="006F0F5A"/>
    <w:rsid w:val="006F5BD6"/>
    <w:rsid w:val="006F6790"/>
    <w:rsid w:val="00703D6C"/>
    <w:rsid w:val="0070524B"/>
    <w:rsid w:val="00734AC1"/>
    <w:rsid w:val="0073712E"/>
    <w:rsid w:val="00770E9C"/>
    <w:rsid w:val="007873AF"/>
    <w:rsid w:val="007C4914"/>
    <w:rsid w:val="007C7BB1"/>
    <w:rsid w:val="007E4DA8"/>
    <w:rsid w:val="00803A89"/>
    <w:rsid w:val="0083777C"/>
    <w:rsid w:val="00840045"/>
    <w:rsid w:val="00842854"/>
    <w:rsid w:val="00851ABF"/>
    <w:rsid w:val="00884A42"/>
    <w:rsid w:val="008B3002"/>
    <w:rsid w:val="008B7954"/>
    <w:rsid w:val="008C6B56"/>
    <w:rsid w:val="00913F54"/>
    <w:rsid w:val="009329BC"/>
    <w:rsid w:val="00960DC4"/>
    <w:rsid w:val="009C4340"/>
    <w:rsid w:val="009C6C65"/>
    <w:rsid w:val="009D2540"/>
    <w:rsid w:val="009E7D50"/>
    <w:rsid w:val="00A0000B"/>
    <w:rsid w:val="00A1249D"/>
    <w:rsid w:val="00A226EF"/>
    <w:rsid w:val="00A30BD8"/>
    <w:rsid w:val="00A31120"/>
    <w:rsid w:val="00A5767F"/>
    <w:rsid w:val="00A70615"/>
    <w:rsid w:val="00AB332A"/>
    <w:rsid w:val="00AB6DD8"/>
    <w:rsid w:val="00AC3CBF"/>
    <w:rsid w:val="00AC43E9"/>
    <w:rsid w:val="00AF5168"/>
    <w:rsid w:val="00AF6F63"/>
    <w:rsid w:val="00B740E9"/>
    <w:rsid w:val="00B75D1C"/>
    <w:rsid w:val="00B832EB"/>
    <w:rsid w:val="00B959CD"/>
    <w:rsid w:val="00BE6773"/>
    <w:rsid w:val="00C213EE"/>
    <w:rsid w:val="00C21FB3"/>
    <w:rsid w:val="00C32B4D"/>
    <w:rsid w:val="00C42F95"/>
    <w:rsid w:val="00C67074"/>
    <w:rsid w:val="00C80258"/>
    <w:rsid w:val="00CB747D"/>
    <w:rsid w:val="00CC0168"/>
    <w:rsid w:val="00CC165E"/>
    <w:rsid w:val="00CC2463"/>
    <w:rsid w:val="00CE441A"/>
    <w:rsid w:val="00D04590"/>
    <w:rsid w:val="00D104B7"/>
    <w:rsid w:val="00D17296"/>
    <w:rsid w:val="00D2288C"/>
    <w:rsid w:val="00D267F1"/>
    <w:rsid w:val="00D46F45"/>
    <w:rsid w:val="00D72627"/>
    <w:rsid w:val="00D749D0"/>
    <w:rsid w:val="00D9023A"/>
    <w:rsid w:val="00D9063C"/>
    <w:rsid w:val="00D9549D"/>
    <w:rsid w:val="00E04619"/>
    <w:rsid w:val="00E4331A"/>
    <w:rsid w:val="00E635A8"/>
    <w:rsid w:val="00EA14CC"/>
    <w:rsid w:val="00EB3396"/>
    <w:rsid w:val="00EC2728"/>
    <w:rsid w:val="00EC6485"/>
    <w:rsid w:val="00EE7125"/>
    <w:rsid w:val="00EF0B5E"/>
    <w:rsid w:val="00F16659"/>
    <w:rsid w:val="00F23187"/>
    <w:rsid w:val="00F31164"/>
    <w:rsid w:val="00F61F1B"/>
    <w:rsid w:val="00F64393"/>
    <w:rsid w:val="00F74815"/>
    <w:rsid w:val="00FA4DDB"/>
    <w:rsid w:val="00FA65B1"/>
    <w:rsid w:val="00FC0343"/>
    <w:rsid w:val="00FD4810"/>
    <w:rsid w:val="00FD672C"/>
    <w:rsid w:val="00FF2560"/>
    <w:rsid w:val="01345373"/>
    <w:rsid w:val="01582BC2"/>
    <w:rsid w:val="019A362C"/>
    <w:rsid w:val="01C14D94"/>
    <w:rsid w:val="01D90B32"/>
    <w:rsid w:val="01FB5C4F"/>
    <w:rsid w:val="0234464C"/>
    <w:rsid w:val="031F410D"/>
    <w:rsid w:val="03284C2A"/>
    <w:rsid w:val="034104E4"/>
    <w:rsid w:val="03CB315D"/>
    <w:rsid w:val="0404788F"/>
    <w:rsid w:val="04882B7C"/>
    <w:rsid w:val="05BF3663"/>
    <w:rsid w:val="05CC1C2B"/>
    <w:rsid w:val="05CF325F"/>
    <w:rsid w:val="05D84A38"/>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965C13"/>
    <w:rsid w:val="0BC72E04"/>
    <w:rsid w:val="0BC76BDF"/>
    <w:rsid w:val="0C1D75EE"/>
    <w:rsid w:val="0C885CB6"/>
    <w:rsid w:val="0C9F46C4"/>
    <w:rsid w:val="0D177805"/>
    <w:rsid w:val="0D4340F6"/>
    <w:rsid w:val="0E1B1632"/>
    <w:rsid w:val="0E523D0A"/>
    <w:rsid w:val="0E52758D"/>
    <w:rsid w:val="0E5A4A41"/>
    <w:rsid w:val="0E673CAF"/>
    <w:rsid w:val="0F766A8F"/>
    <w:rsid w:val="100527D7"/>
    <w:rsid w:val="10254F0A"/>
    <w:rsid w:val="112138E9"/>
    <w:rsid w:val="113E4126"/>
    <w:rsid w:val="114F3655"/>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403F6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2DF75DA"/>
    <w:rsid w:val="23593C8E"/>
    <w:rsid w:val="2367682D"/>
    <w:rsid w:val="23B0469D"/>
    <w:rsid w:val="23CA5D23"/>
    <w:rsid w:val="23D702D8"/>
    <w:rsid w:val="2421531F"/>
    <w:rsid w:val="24485B15"/>
    <w:rsid w:val="24F3084A"/>
    <w:rsid w:val="25163066"/>
    <w:rsid w:val="252C160A"/>
    <w:rsid w:val="26025814"/>
    <w:rsid w:val="267C2231"/>
    <w:rsid w:val="2687386C"/>
    <w:rsid w:val="26D32C40"/>
    <w:rsid w:val="27274753"/>
    <w:rsid w:val="276B793B"/>
    <w:rsid w:val="28D10507"/>
    <w:rsid w:val="291D7302"/>
    <w:rsid w:val="291E6B6E"/>
    <w:rsid w:val="292F528A"/>
    <w:rsid w:val="29525AD9"/>
    <w:rsid w:val="297500A6"/>
    <w:rsid w:val="29A73C7F"/>
    <w:rsid w:val="29D55AC0"/>
    <w:rsid w:val="2AEC6EEC"/>
    <w:rsid w:val="2B936FD4"/>
    <w:rsid w:val="2C362D97"/>
    <w:rsid w:val="2C401128"/>
    <w:rsid w:val="2DA05389"/>
    <w:rsid w:val="2DD227B8"/>
    <w:rsid w:val="2DD7183B"/>
    <w:rsid w:val="2E071CC4"/>
    <w:rsid w:val="2E136AA5"/>
    <w:rsid w:val="2E626A35"/>
    <w:rsid w:val="2E736D2D"/>
    <w:rsid w:val="2E902140"/>
    <w:rsid w:val="2EA16BA5"/>
    <w:rsid w:val="2ECC1AD7"/>
    <w:rsid w:val="2ED67E68"/>
    <w:rsid w:val="2F424F98"/>
    <w:rsid w:val="2F9A4DDA"/>
    <w:rsid w:val="300A5450"/>
    <w:rsid w:val="302802A7"/>
    <w:rsid w:val="306814F8"/>
    <w:rsid w:val="30B24BAF"/>
    <w:rsid w:val="318048D9"/>
    <w:rsid w:val="31AE7611"/>
    <w:rsid w:val="31C33D33"/>
    <w:rsid w:val="3224686E"/>
    <w:rsid w:val="323B00E4"/>
    <w:rsid w:val="326E0B7C"/>
    <w:rsid w:val="328560F8"/>
    <w:rsid w:val="32B25BB9"/>
    <w:rsid w:val="338B331E"/>
    <w:rsid w:val="33DC3CA0"/>
    <w:rsid w:val="33E2207E"/>
    <w:rsid w:val="340A7104"/>
    <w:rsid w:val="355E0C9B"/>
    <w:rsid w:val="35B000CA"/>
    <w:rsid w:val="35BA2EDF"/>
    <w:rsid w:val="35D93A68"/>
    <w:rsid w:val="36030A6A"/>
    <w:rsid w:val="36173CCD"/>
    <w:rsid w:val="362638DE"/>
    <w:rsid w:val="36815809"/>
    <w:rsid w:val="36DE712E"/>
    <w:rsid w:val="372C62B4"/>
    <w:rsid w:val="37A80BE0"/>
    <w:rsid w:val="37B336EE"/>
    <w:rsid w:val="38764AB1"/>
    <w:rsid w:val="38B0363C"/>
    <w:rsid w:val="38E16EE7"/>
    <w:rsid w:val="38E333C2"/>
    <w:rsid w:val="391F5194"/>
    <w:rsid w:val="393018FE"/>
    <w:rsid w:val="39C06743"/>
    <w:rsid w:val="39E43513"/>
    <w:rsid w:val="3A335D0B"/>
    <w:rsid w:val="3A477098"/>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169E"/>
    <w:rsid w:val="42585666"/>
    <w:rsid w:val="42963BD7"/>
    <w:rsid w:val="42BF669F"/>
    <w:rsid w:val="430E0648"/>
    <w:rsid w:val="431E26B5"/>
    <w:rsid w:val="43474CAB"/>
    <w:rsid w:val="43695540"/>
    <w:rsid w:val="436E4D61"/>
    <w:rsid w:val="437C1F45"/>
    <w:rsid w:val="43B15793"/>
    <w:rsid w:val="43BD29AF"/>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1A359F"/>
    <w:rsid w:val="48561FC9"/>
    <w:rsid w:val="48B15C47"/>
    <w:rsid w:val="49072FA9"/>
    <w:rsid w:val="49261C3F"/>
    <w:rsid w:val="493347CF"/>
    <w:rsid w:val="495653DF"/>
    <w:rsid w:val="49626DF3"/>
    <w:rsid w:val="4A8D1DAA"/>
    <w:rsid w:val="4B8D5691"/>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3736C2"/>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9CF69BD"/>
    <w:rsid w:val="5A0A51C8"/>
    <w:rsid w:val="5B7812F5"/>
    <w:rsid w:val="5BB41248"/>
    <w:rsid w:val="5C1F35AE"/>
    <w:rsid w:val="5C2A56A7"/>
    <w:rsid w:val="5C753FBD"/>
    <w:rsid w:val="5CB860BB"/>
    <w:rsid w:val="5CE1766A"/>
    <w:rsid w:val="5D9E2448"/>
    <w:rsid w:val="5DD067F8"/>
    <w:rsid w:val="5DEC6C83"/>
    <w:rsid w:val="5E070B96"/>
    <w:rsid w:val="5E122AE4"/>
    <w:rsid w:val="5E144AE0"/>
    <w:rsid w:val="5E5558C7"/>
    <w:rsid w:val="5EA1333A"/>
    <w:rsid w:val="5EB90830"/>
    <w:rsid w:val="5F9430D6"/>
    <w:rsid w:val="5F9B4FAA"/>
    <w:rsid w:val="5FA479F8"/>
    <w:rsid w:val="5FD92450"/>
    <w:rsid w:val="5FE037EC"/>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3E5FBC"/>
    <w:rsid w:val="74B62489"/>
    <w:rsid w:val="74C92ADB"/>
    <w:rsid w:val="74F31E31"/>
    <w:rsid w:val="752F32A4"/>
    <w:rsid w:val="759A5F7F"/>
    <w:rsid w:val="759C1C6C"/>
    <w:rsid w:val="75C42647"/>
    <w:rsid w:val="75D52416"/>
    <w:rsid w:val="75F1698E"/>
    <w:rsid w:val="76043841"/>
    <w:rsid w:val="760813AF"/>
    <w:rsid w:val="760E60FA"/>
    <w:rsid w:val="765E0634"/>
    <w:rsid w:val="766354AA"/>
    <w:rsid w:val="76646B39"/>
    <w:rsid w:val="76AD3AC6"/>
    <w:rsid w:val="77126815"/>
    <w:rsid w:val="77AD1180"/>
    <w:rsid w:val="77C0744E"/>
    <w:rsid w:val="77FA69E3"/>
    <w:rsid w:val="785C5783"/>
    <w:rsid w:val="78C728B3"/>
    <w:rsid w:val="78DB03FA"/>
    <w:rsid w:val="7903535D"/>
    <w:rsid w:val="7A29216E"/>
    <w:rsid w:val="7A3431C9"/>
    <w:rsid w:val="7A743244"/>
    <w:rsid w:val="7A75632B"/>
    <w:rsid w:val="7A9059A7"/>
    <w:rsid w:val="7AB17A37"/>
    <w:rsid w:val="7AE97EB7"/>
    <w:rsid w:val="7B5D15F3"/>
    <w:rsid w:val="7B7D7929"/>
    <w:rsid w:val="7CAE5A9D"/>
    <w:rsid w:val="7D7E770D"/>
    <w:rsid w:val="7D832832"/>
    <w:rsid w:val="7E0C65FB"/>
    <w:rsid w:val="7E6D09FF"/>
    <w:rsid w:val="7E6F73EC"/>
    <w:rsid w:val="7E8666DE"/>
    <w:rsid w:val="7EA24FB2"/>
    <w:rsid w:val="7ECB4DD0"/>
    <w:rsid w:val="7F1413C4"/>
    <w:rsid w:val="7F2E4837"/>
    <w:rsid w:val="7F46610E"/>
    <w:rsid w:val="7F656F0F"/>
    <w:rsid w:val="7FD4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9465C-8DE2-4C9B-BD03-6CD5E094E50C}">
  <ds:schemaRefs/>
</ds:datastoreItem>
</file>

<file path=docProps/app.xml><?xml version="1.0" encoding="utf-8"?>
<Properties xmlns="http://schemas.openxmlformats.org/officeDocument/2006/extended-properties" xmlns:vt="http://schemas.openxmlformats.org/officeDocument/2006/docPropsVTypes">
  <Template>Normal</Template>
  <Pages>1</Pages>
  <Words>181</Words>
  <Characters>1036</Characters>
  <Lines>8</Lines>
  <Paragraphs>2</Paragraphs>
  <TotalTime>282</TotalTime>
  <ScaleCrop>false</ScaleCrop>
  <LinksUpToDate>false</LinksUpToDate>
  <CharactersWithSpaces>1215</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2019-08-05T10:21:00Z</dcterms:created>
  <dc:creator>Administrator</dc:creator>
  <cp:lastModifiedBy>Administrator</cp:lastModifiedBy>
  <cp:lastPrinted>2018-05-29T01:35:00Z</cp:lastPrinted>
  <dcterms:modified xsi:type="dcterms:W3CDTF">2019-12-02T10:14:08Z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