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关于继续执行双</w:t>
      </w:r>
      <w:r>
        <w:rPr>
          <w:rFonts w:hint="eastAsia"/>
          <w:b/>
          <w:bCs/>
          <w:sz w:val="28"/>
          <w:szCs w:val="28"/>
          <w:lang w:val="en-US" w:eastAsia="zh-CN"/>
        </w:rPr>
        <w:t>12活动的通知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二、活动内容：</w:t>
      </w:r>
      <w:r>
        <w:rPr>
          <w:rFonts w:hint="eastAsia"/>
          <w:sz w:val="28"/>
          <w:szCs w:val="28"/>
          <w:lang w:val="en-US" w:eastAsia="zh-CN"/>
        </w:rPr>
        <w:t>继续按双12活动方案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及单品活动执行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三、活动考核：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1、12月12日销售按双12活动考核目标的85%进行考核。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达成活动目标，销售超额部分可冲抵12月7-12月9日销售差额，补够销售即不处罚、不奖励。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未达成活动目标，12月7-12月9日考核处罚结果不变。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12月12日门店完成销售、毛利目标，加个人积分20分/人。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12月12日请全员在岗，保证门店销售。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活动宣传：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双12活动宣传物料全部恢复陈列。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收银台“换购台卡”一直陈列至配发新换购台卡再更换。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891030" cy="2679065"/>
            <wp:effectExtent l="0" t="0" r="139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2019.12.11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4841"/>
    <w:multiLevelType w:val="singleLevel"/>
    <w:tmpl w:val="88F9484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486047"/>
    <w:multiLevelType w:val="singleLevel"/>
    <w:tmpl w:val="4948604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551303F"/>
    <w:multiLevelType w:val="singleLevel"/>
    <w:tmpl w:val="655130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82EB9"/>
    <w:rsid w:val="19FA10C0"/>
    <w:rsid w:val="325A2292"/>
    <w:rsid w:val="33BD18CB"/>
    <w:rsid w:val="3B7D7EFF"/>
    <w:rsid w:val="3BD17DEF"/>
    <w:rsid w:val="468C4157"/>
    <w:rsid w:val="514460E4"/>
    <w:rsid w:val="5E35678E"/>
    <w:rsid w:val="64F12748"/>
    <w:rsid w:val="667F6818"/>
    <w:rsid w:val="6BB430C5"/>
    <w:rsid w:val="71CE70C5"/>
    <w:rsid w:val="72793AD3"/>
    <w:rsid w:val="7C88527A"/>
    <w:rsid w:val="7E2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2019-12-11T11:41:42Z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