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关于钉钉中离职人员暂扣工资清算流程的通知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为简化流程，完善离职人员工资清算审批手续，自本月起，离职人员工资清算流程将通过钉钉进行。具体操作流程及要求如下：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一、操作流程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每月中旬由人事科发起清算流程。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各门店店长在流程中填写离职人员扣款及赔付明细。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离职一个月内的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，店长可根据实际情况选择“发放”或“继续暂扣”。如门店确认已完成所有扣款及赔付清算工作，可选择“发放”，请店长如实填报扣款及赔付明细；如未完成清算则选择“继续暂扣”，本次清算流程结束。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离职两个月的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，根据公司管理规定必须发放离职人员暂扣工资，请店长如实填报扣款情况。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店长填写后流程将自动进入领导审批。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二、注意事项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1、请店长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务必仔细核对离职人员扣款及赔付情况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，人事科将根据填报信息发放离职人员工资，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发放后产生的一切扣款将由门店自行承担。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>请逐条填写扣款明细并合计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，例：X月XX品种扣款X元，盘点赔付X元，合计X元。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综合管理部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righ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2019年10月12日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1296"/>
    <w:multiLevelType w:val="singleLevel"/>
    <w:tmpl w:val="286B129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6B00521"/>
    <w:multiLevelType w:val="singleLevel"/>
    <w:tmpl w:val="56B005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E631F"/>
    <w:rsid w:val="021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2019-10-12T08:08:00Z</dcterms:created>
  <dc:creator>熊1409847161</dc:creator>
  <cp:lastModifiedBy>熊1409847161</cp:lastModifiedBy>
  <cp:lastPrinted>2019-10-12T08:42:33Z</cp:lastPrinted>
  <dcterms:modified xsi:type="dcterms:W3CDTF">2019-10-12T08:51:14Z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