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“国庆”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旗舰店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   旗舰店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店长签名：谭庆娟</w:t>
      </w:r>
      <w:r>
        <w:rPr>
          <w:rFonts w:hint="eastAsia"/>
          <w:sz w:val="24"/>
          <w:szCs w:val="24"/>
          <w:lang w:val="en-US" w:eastAsia="zh-CN"/>
        </w:rPr>
        <w:t xml:space="preserve">                          检查日期：2018-09-29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DE33BB7"/>
    <w:rsid w:val="2E06409A"/>
    <w:rsid w:val="36AA1F74"/>
    <w:rsid w:val="37242BA1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5D925EC0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0A4DEE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2018-09-29T10:30:53Z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