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尹成苹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63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15208155725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155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57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头晕，手麻有改善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价格再低点或支数多点就更好了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3B11AB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B273E3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2018-08-19T06:53:38Z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