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sz w:val="96"/>
          <w:szCs w:val="96"/>
          <w:lang w:eastAsia="zh-CN"/>
        </w:rPr>
        <w:t>成都市食药监温馨提示：</w:t>
      </w:r>
    </w:p>
    <w:p>
      <w:pPr>
        <w:ind w:firstLine="1124" w:firstLineChars="200"/>
        <w:jc w:val="both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为了您的用药安全，处方药须凭医师处方购买，请在执业医师指导下使用。未审核医师处方销售处方药，请举报：</w:t>
      </w:r>
    </w:p>
    <w:p>
      <w:pPr>
        <w:jc w:val="center"/>
        <w:rPr>
          <w:rFonts w:hint="eastAsia" w:eastAsia="宋体"/>
          <w:b/>
          <w:bCs/>
          <w:sz w:val="320"/>
          <w:szCs w:val="320"/>
          <w:lang w:val="en-US" w:eastAsia="zh-CN"/>
        </w:rPr>
      </w:pPr>
      <w:r>
        <w:rPr>
          <w:rFonts w:hint="eastAsia"/>
          <w:b/>
          <w:bCs/>
          <w:sz w:val="320"/>
          <w:szCs w:val="320"/>
          <w:lang w:val="en-US" w:eastAsia="zh-CN"/>
        </w:rPr>
        <w:t>12331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6272A"/>
    <w:rsid w:val="3FC6272A"/>
    <w:rsid w:val="5F1072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2018-07-02T04:21:00Z</dcterms:created>
  <dc:creator>Administrator</dc:creator>
  <cp:lastModifiedBy>Administrator</cp:lastModifiedBy>
  <dcterms:modified xsi:type="dcterms:W3CDTF">2018-07-02T04:23:14Z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