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4.28-5.2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20---99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4.28</w:t>
      </w:r>
      <w:r>
        <w:rPr>
          <w:sz w:val="24"/>
          <w:szCs w:val="24"/>
        </w:rPr>
        <w:t>-</w:t>
      </w:r>
      <w:r>
        <w:rPr>
          <w:rFonts w:hint="eastAsia"/>
          <w:sz w:val="28"/>
          <w:szCs w:val="28"/>
          <w:lang w:val="en-US" w:eastAsia="zh-CN"/>
        </w:rPr>
        <w:t>5.2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49</w:t>
      </w:r>
      <w:r>
        <w:rPr>
          <w:rFonts w:hint="eastAsia"/>
          <w:color w:val="FF0000"/>
        </w:rPr>
        <w:t>省</w:t>
      </w:r>
      <w:r>
        <w:rPr>
          <w:color w:val="FF0000"/>
        </w:rPr>
        <w:t xml:space="preserve">20 </w:t>
      </w:r>
      <w:r>
        <w:rPr>
          <w:rFonts w:hint="eastAsia"/>
          <w:color w:val="FF0000"/>
        </w:rPr>
        <w:t>京东补贴6元，</w:t>
      </w:r>
      <w:r>
        <w:rPr>
          <w:color w:val="FF0000"/>
        </w:rPr>
        <w:t>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 xml:space="preserve">元 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sz w:val="21"/>
          <w:szCs w:val="21"/>
        </w:rPr>
        <w:t>49</w:t>
      </w:r>
      <w:r>
        <w:rPr>
          <w:rFonts w:hint="eastAsia" w:ascii="Verdana" w:hAnsi="Verdana"/>
          <w:color w:val="FF0000"/>
          <w:sz w:val="21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>14</w:t>
      </w:r>
      <w:r>
        <w:rPr>
          <w:rFonts w:hint="eastAsia"/>
          <w:color w:val="FF0000"/>
          <w:sz w:val="21"/>
          <w:szCs w:val="21"/>
        </w:rPr>
        <w:t>，9</w:t>
      </w:r>
      <w:r>
        <w:rPr>
          <w:color w:val="FF0000"/>
          <w:sz w:val="21"/>
          <w:szCs w:val="21"/>
        </w:rPr>
        <w:t>9</w:t>
      </w:r>
      <w:r>
        <w:rPr>
          <w:rFonts w:hint="eastAsia"/>
          <w:color w:val="FF0000"/>
          <w:sz w:val="21"/>
          <w:szCs w:val="21"/>
        </w:rPr>
        <w:t>省</w:t>
      </w:r>
      <w:r>
        <w:rPr>
          <w:color w:val="FF0000"/>
          <w:sz w:val="21"/>
          <w:szCs w:val="21"/>
        </w:rPr>
        <w:t>3</w:t>
      </w:r>
      <w:r>
        <w:rPr>
          <w:rFonts w:hint="eastAsia"/>
          <w:color w:val="FF0000"/>
          <w:sz w:val="21"/>
          <w:szCs w:val="21"/>
          <w:lang w:val="en-US" w:eastAsia="zh-CN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950"/>
        <w:gridCol w:w="4590"/>
        <w:gridCol w:w="1130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140507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115733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买2得3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隆力奇蛇胆花露水195ml/瓶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141227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华素愈创 优效修复牙膏 80g/盒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105893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千金净雅卫生巾纯棉日用10片/盒 240mm 超薄舒敏调衡 中量型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66293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小儿止咳糖浆 120ml/盒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123717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74377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宝丽婷 克霉唑阴道片 500mg* 2片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118954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108833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139278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芬必得 布洛芬咀嚼片 0.2g*10片/盒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108531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 奥利司他胶囊 0.12g*21粒/盒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131284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47456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124048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132433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110030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江中集团 健胃消食片 0.5g*72片/盒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开瑞坦 开瑞坦氯雷他定片 10mg*6片/盒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75276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114978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伊可新 维生素AD滴剂(胶囊型)(1岁以上) 60粒/盒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力度伸 维生素C泡腾片(橙味) 1g*10片/盒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84718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云南白药气雾剂 50g+60g/盒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140514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杰士邦ZERO零感极薄3只/盒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4.27</w:t>
      </w:r>
      <w:r>
        <w:rPr>
          <w:rFonts w:hint="eastAsia"/>
        </w:rPr>
        <w:t xml:space="preserve">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0366CB6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ScaleCrop>false</ScaleCrop>
  <LinksUpToDate>false</LinksUpToDate>
  <CharactersWithSpaces>2258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2018-04-27T08:47:27Z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