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华康店藿香下降的原因及措施</w:t>
      </w:r>
      <w:r>
        <w:rPr>
          <w:rFonts w:hint="eastAsia"/>
          <w:lang w:eastAsia="zh-CN"/>
        </w:rPr>
        <w:t>：</w:t>
      </w:r>
      <w:bookmarkStart w:id="0" w:name="_GoBack"/>
      <w:bookmarkEnd w:id="0"/>
      <w:r>
        <w:rPr>
          <w:rFonts w:hint="eastAsia"/>
        </w:rPr>
        <w:t>藿香同比1-2月下降279.8元，没引起藿香销售的高度重视，卖感冒药的时候都去拿金牌品种，应该联合用药藿香可以用于胃肠型感冒，措施一每天至少卖两盒出去，搭配感冒药一起用，晕车晕船首选藿香正气液 二藿香是宝贝品种要每天查询藿香销售金额，三藿香联合有皮肤病的可以一起使用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26417"/>
    <w:rsid w:val="3FC264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2018-03-05T05:44:00Z</dcterms:created>
  <dc:creator>wj</dc:creator>
  <cp:lastModifiedBy>wj</cp:lastModifiedBy>
  <dcterms:modified xsi:type="dcterms:W3CDTF">2018-03-05T05:45:05Z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