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40" w:firstLineChars="200"/>
        <w:textAlignment w:val="auto"/>
        <w:rPr>
          <w:rFonts w:ascii="宋体" w:hAnsi="宋体" w:eastAsia="宋体" w:cs="宋体"/>
          <w:sz w:val="24"/>
          <w:szCs w:val="24"/>
          <w:highlight w:val="none"/>
        </w:rPr>
      </w:pPr>
      <w:r>
        <w:rPr>
          <w:rFonts w:hint="eastAsia" w:ascii="方正仿宋_GBK" w:hAnsi="宋体" w:eastAsia="方正仿宋_GBK" w:cs="宋体"/>
          <w:color w:val="000000"/>
          <w:kern w:val="2"/>
          <w:sz w:val="22"/>
          <w:szCs w:val="22"/>
          <w:lang w:val="en-US" w:eastAsia="zh-CN"/>
        </w:rPr>
        <w:t>四川太极大药房连锁有限公司高新区府城大道西段</w:t>
      </w:r>
      <w:r>
        <w:rPr>
          <w:rFonts w:hint="eastAsia" w:ascii="宋体" w:hAnsi="宋体" w:eastAsia="宋体" w:cs="宋体"/>
          <w:sz w:val="24"/>
          <w:szCs w:val="24"/>
          <w:highlight w:val="none"/>
          <w:lang w:val="en-US" w:eastAsia="zh-CN"/>
        </w:rPr>
        <w:t>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val="en-US" w:eastAsia="zh-CN"/>
        </w:rPr>
        <w:t>成都市高新区府城大道西段399号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CB0285646（13）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CB0285646（13）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91510100562034560N</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2020年01月08日，经营方式为零售，经营范围</w:t>
      </w: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17个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210L</w:t>
      </w:r>
      <w:bookmarkStart w:id="0" w:name="_GoBack"/>
      <w:bookmarkEnd w:id="0"/>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2</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四川太极大药房连锁有限公司府城大道西段</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药店店长签名：贾兰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6D41D50"/>
    <w:rsid w:val="27B05783"/>
    <w:rsid w:val="28886AB6"/>
    <w:rsid w:val="29921C7C"/>
    <w:rsid w:val="2AE36EEC"/>
    <w:rsid w:val="2C293A3F"/>
    <w:rsid w:val="2C4764F3"/>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3726D19"/>
    <w:rsid w:val="5463063E"/>
    <w:rsid w:val="548C2D94"/>
    <w:rsid w:val="553C4621"/>
    <w:rsid w:val="55BB1C13"/>
    <w:rsid w:val="57F55446"/>
    <w:rsid w:val="58297F4E"/>
    <w:rsid w:val="5950165E"/>
    <w:rsid w:val="59574247"/>
    <w:rsid w:val="5A3657B3"/>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樱雪飘</cp:lastModifiedBy>
  <dcterms:modified xsi:type="dcterms:W3CDTF">2018-03-30T08:12:18Z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