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rPr>
          <w:rFonts w:hint="eastAsia" w:ascii="方正小标宋简体" w:eastAsia="方正小标宋简体"/>
          <w:color w:val="000000"/>
          <w:sz w:val="32"/>
          <w:szCs w:val="32"/>
        </w:rPr>
      </w:pPr>
      <w:r>
        <w:rPr>
          <w:rFonts w:ascii="黑体" w:eastAsia="黑体"/>
          <w:color w:val="000000"/>
          <w:sz w:val="32"/>
          <w:szCs w:val="32"/>
        </w:rPr>
        <w:t xml:space="preserve">  </w:t>
      </w:r>
      <w:r>
        <w:rPr>
          <w:rFonts w:hint="eastAsia" w:ascii="黑体" w:eastAsia="黑体"/>
          <w:color w:val="000000"/>
          <w:sz w:val="32"/>
          <w:szCs w:val="32"/>
          <w:lang w:val="en-US" w:eastAsia="zh-CN"/>
        </w:rPr>
        <w:t xml:space="preserve">       </w:t>
      </w:r>
      <w:r>
        <w:rPr>
          <w:rFonts w:hint="eastAsia" w:ascii="方正小标宋简体" w:eastAsia="方正小标宋简体"/>
          <w:color w:val="000000"/>
          <w:sz w:val="32"/>
          <w:szCs w:val="32"/>
        </w:rPr>
        <w:t>药品零售企业落实主体责任情况自查表</w:t>
      </w:r>
    </w:p>
    <w:p>
      <w:pPr>
        <w:shd w:val="clear" w:color="auto" w:fill="FFFFFF"/>
        <w:rPr>
          <w:color w:val="000000"/>
          <w:sz w:val="32"/>
          <w:szCs w:val="32"/>
        </w:rPr>
      </w:pPr>
      <w:r>
        <w:rPr>
          <w:rFonts w:hint="eastAsia" w:ascii="方正楷体_GBK" w:hAnsi="黑体" w:eastAsia="方正楷体_GBK"/>
          <w:color w:val="000000"/>
          <w:sz w:val="24"/>
          <w:szCs w:val="24"/>
        </w:rPr>
        <w:t>（</w:t>
      </w:r>
      <w:r>
        <w:rPr>
          <w:rFonts w:hint="eastAsia" w:ascii="方正楷体_GBK" w:hAnsi="黑体" w:eastAsia="方正楷体_GBK" w:cs="宋体"/>
          <w:color w:val="000000"/>
          <w:sz w:val="24"/>
          <w:szCs w:val="24"/>
        </w:rPr>
        <w:t>包含药品零售连锁总部、连锁门店、单体药店，自查时间段为</w:t>
      </w:r>
      <w:r>
        <w:rPr>
          <w:rFonts w:ascii="方正楷体_GBK" w:hAnsi="黑体" w:eastAsia="方正楷体_GBK" w:cs="宋体"/>
          <w:color w:val="000000"/>
          <w:sz w:val="24"/>
          <w:szCs w:val="24"/>
        </w:rPr>
        <w:t>2017</w:t>
      </w:r>
      <w:r>
        <w:rPr>
          <w:rFonts w:hint="eastAsia" w:ascii="方正楷体_GBK" w:hAnsi="黑体" w:eastAsia="方正楷体_GBK" w:cs="宋体"/>
          <w:color w:val="000000"/>
          <w:sz w:val="24"/>
          <w:szCs w:val="24"/>
        </w:rPr>
        <w:t>年</w:t>
      </w:r>
      <w:r>
        <w:rPr>
          <w:rFonts w:ascii="方正楷体_GBK" w:hAnsi="黑体" w:eastAsia="方正楷体_GBK" w:cs="宋体"/>
          <w:color w:val="000000"/>
          <w:sz w:val="24"/>
          <w:szCs w:val="24"/>
        </w:rPr>
        <w:t>1</w:t>
      </w:r>
      <w:r>
        <w:rPr>
          <w:rFonts w:hint="eastAsia" w:ascii="方正楷体_GBK" w:hAnsi="黑体" w:eastAsia="方正楷体_GBK" w:cs="宋体"/>
          <w:color w:val="000000"/>
          <w:sz w:val="24"/>
          <w:szCs w:val="24"/>
        </w:rPr>
        <w:t>月</w:t>
      </w:r>
      <w:r>
        <w:rPr>
          <w:rFonts w:ascii="方正楷体_GBK" w:hAnsi="黑体" w:eastAsia="方正楷体_GBK" w:cs="宋体"/>
          <w:color w:val="000000"/>
          <w:sz w:val="24"/>
          <w:szCs w:val="24"/>
        </w:rPr>
        <w:t>1</w:t>
      </w:r>
      <w:r>
        <w:rPr>
          <w:rFonts w:hint="eastAsia" w:ascii="方正楷体_GBK" w:hAnsi="黑体" w:eastAsia="方正楷体_GBK" w:cs="宋体"/>
          <w:color w:val="000000"/>
          <w:sz w:val="24"/>
          <w:szCs w:val="24"/>
        </w:rPr>
        <w:t>日至</w:t>
      </w:r>
      <w:r>
        <w:rPr>
          <w:rFonts w:ascii="方正楷体_GBK" w:hAnsi="黑体" w:eastAsia="方正楷体_GBK" w:cs="宋体"/>
          <w:color w:val="000000"/>
          <w:sz w:val="24"/>
          <w:szCs w:val="24"/>
        </w:rPr>
        <w:t>2018</w:t>
      </w:r>
      <w:r>
        <w:rPr>
          <w:rFonts w:hint="eastAsia" w:ascii="方正楷体_GBK" w:hAnsi="黑体" w:eastAsia="方正楷体_GBK" w:cs="宋体"/>
          <w:color w:val="000000"/>
          <w:sz w:val="24"/>
          <w:szCs w:val="24"/>
        </w:rPr>
        <w:t>年</w:t>
      </w:r>
      <w:r>
        <w:rPr>
          <w:rFonts w:ascii="方正楷体_GBK" w:hAnsi="黑体" w:eastAsia="方正楷体_GBK" w:cs="宋体"/>
          <w:color w:val="000000"/>
          <w:sz w:val="24"/>
          <w:szCs w:val="24"/>
        </w:rPr>
        <w:t>1</w:t>
      </w:r>
      <w:r>
        <w:rPr>
          <w:rFonts w:hint="eastAsia" w:ascii="方正楷体_GBK" w:hAnsi="黑体" w:eastAsia="方正楷体_GBK" w:cs="宋体"/>
          <w:color w:val="000000"/>
          <w:sz w:val="24"/>
          <w:szCs w:val="24"/>
        </w:rPr>
        <w:t>月</w:t>
      </w:r>
      <w:r>
        <w:rPr>
          <w:rFonts w:ascii="方正楷体_GBK" w:hAnsi="黑体" w:eastAsia="方正楷体_GBK" w:cs="宋体"/>
          <w:color w:val="000000"/>
          <w:sz w:val="24"/>
          <w:szCs w:val="24"/>
        </w:rPr>
        <w:t>31</w:t>
      </w:r>
      <w:r>
        <w:rPr>
          <w:rFonts w:hint="eastAsia" w:ascii="方正楷体_GBK" w:hAnsi="黑体" w:eastAsia="方正楷体_GBK" w:cs="宋体"/>
          <w:color w:val="000000"/>
          <w:sz w:val="24"/>
          <w:szCs w:val="24"/>
        </w:rPr>
        <w:t>日）</w:t>
      </w:r>
    </w:p>
    <w:tbl>
      <w:tblPr>
        <w:tblStyle w:val="8"/>
        <w:tblW w:w="9780" w:type="dxa"/>
        <w:tblInd w:w="-5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585"/>
        <w:gridCol w:w="2732"/>
        <w:gridCol w:w="759"/>
        <w:gridCol w:w="1455"/>
        <w:gridCol w:w="1084"/>
        <w:gridCol w:w="1265"/>
        <w:gridCol w:w="1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5" w:type="dxa"/>
            <w:gridSpan w:val="2"/>
            <w:vAlign w:val="center"/>
          </w:tcPr>
          <w:p>
            <w:pPr>
              <w:jc w:val="both"/>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企业名称</w:t>
            </w:r>
          </w:p>
        </w:tc>
        <w:tc>
          <w:tcPr>
            <w:tcW w:w="3491" w:type="dxa"/>
            <w:gridSpan w:val="2"/>
            <w:vAlign w:val="center"/>
          </w:tcPr>
          <w:p>
            <w:pPr>
              <w:jc w:val="center"/>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四川太极大药房连锁有限公司温江店区柳城镇凤溪大道药店</w:t>
            </w:r>
          </w:p>
        </w:tc>
        <w:tc>
          <w:tcPr>
            <w:tcW w:w="1455" w:type="dxa"/>
            <w:vAlign w:val="center"/>
          </w:tcPr>
          <w:p>
            <w:pPr>
              <w:jc w:val="both"/>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注册地址</w:t>
            </w:r>
          </w:p>
        </w:tc>
        <w:tc>
          <w:tcPr>
            <w:tcW w:w="3559" w:type="dxa"/>
            <w:gridSpan w:val="3"/>
            <w:vAlign w:val="center"/>
          </w:tcPr>
          <w:p>
            <w:pPr>
              <w:jc w:val="both"/>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温江区柳城镇凤溪大道北段</w:t>
            </w:r>
            <w:r>
              <w:rPr>
                <w:rFonts w:hint="eastAsia" w:ascii="方正仿宋_GBK" w:hAnsi="宋体" w:eastAsia="方正仿宋_GBK" w:cs="宋体"/>
                <w:color w:val="000000"/>
                <w:kern w:val="2"/>
                <w:sz w:val="22"/>
                <w:szCs w:val="22"/>
                <w:lang w:val="en-US" w:eastAsia="zh-CN"/>
              </w:rPr>
              <w:t>521号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5" w:hRule="atLeast"/>
        </w:trPr>
        <w:tc>
          <w:tcPr>
            <w:tcW w:w="1275" w:type="dxa"/>
            <w:gridSpan w:val="2"/>
            <w:vAlign w:val="center"/>
          </w:tcPr>
          <w:p>
            <w:pPr>
              <w:jc w:val="both"/>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药品经营许可证号或</w:t>
            </w:r>
            <w:r>
              <w:rPr>
                <w:rFonts w:ascii="方正仿宋_GBK" w:hAnsi="方正仿宋_GBK" w:eastAsia="方正仿宋_GBK" w:cs="方正仿宋_GBK"/>
                <w:color w:val="000000"/>
                <w:sz w:val="22"/>
                <w:szCs w:val="22"/>
              </w:rPr>
              <w:t>GSP</w:t>
            </w:r>
            <w:r>
              <w:rPr>
                <w:rFonts w:hint="eastAsia" w:ascii="方正仿宋_GBK" w:hAnsi="方正仿宋_GBK" w:eastAsia="方正仿宋_GBK" w:cs="方正仿宋_GBK"/>
                <w:color w:val="000000"/>
                <w:sz w:val="22"/>
                <w:szCs w:val="22"/>
              </w:rPr>
              <w:t>证书</w:t>
            </w:r>
          </w:p>
        </w:tc>
        <w:tc>
          <w:tcPr>
            <w:tcW w:w="3491" w:type="dxa"/>
            <w:gridSpan w:val="2"/>
            <w:vAlign w:val="center"/>
          </w:tcPr>
          <w:p>
            <w:pPr>
              <w:jc w:val="both"/>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川</w:t>
            </w:r>
            <w:r>
              <w:rPr>
                <w:rFonts w:hint="eastAsia" w:ascii="方正仿宋_GBK" w:hAnsi="宋体" w:eastAsia="方正仿宋_GBK" w:cs="宋体"/>
                <w:color w:val="000000"/>
                <w:kern w:val="2"/>
                <w:sz w:val="22"/>
                <w:szCs w:val="22"/>
                <w:lang w:val="en-US" w:eastAsia="zh-CN"/>
              </w:rPr>
              <w:t>CB0284742(13)二证合一</w:t>
            </w:r>
          </w:p>
        </w:tc>
        <w:tc>
          <w:tcPr>
            <w:tcW w:w="1455" w:type="dxa"/>
            <w:vAlign w:val="center"/>
          </w:tcPr>
          <w:p>
            <w:pPr>
              <w:jc w:val="both"/>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企业法人及电话</w:t>
            </w:r>
          </w:p>
        </w:tc>
        <w:tc>
          <w:tcPr>
            <w:tcW w:w="3559" w:type="dxa"/>
            <w:gridSpan w:val="3"/>
            <w:vAlign w:val="center"/>
          </w:tcPr>
          <w:p>
            <w:pPr>
              <w:jc w:val="left"/>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蒋炜</w:t>
            </w:r>
          </w:p>
          <w:p>
            <w:pPr>
              <w:jc w:val="left"/>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val="en-US" w:eastAsia="zh-CN"/>
              </w:rPr>
              <w:t>13880583118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8" w:hRule="atLeast"/>
        </w:trPr>
        <w:tc>
          <w:tcPr>
            <w:tcW w:w="1275" w:type="dxa"/>
            <w:gridSpan w:val="2"/>
            <w:vAlign w:val="center"/>
          </w:tcPr>
          <w:p>
            <w:pPr>
              <w:jc w:val="both"/>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企业负责人及电话</w:t>
            </w:r>
          </w:p>
        </w:tc>
        <w:tc>
          <w:tcPr>
            <w:tcW w:w="3491" w:type="dxa"/>
            <w:gridSpan w:val="2"/>
            <w:vAlign w:val="center"/>
          </w:tcPr>
          <w:p>
            <w:pPr>
              <w:jc w:val="both"/>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李坚</w:t>
            </w:r>
          </w:p>
          <w:p>
            <w:pPr>
              <w:jc w:val="both"/>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val="en-US" w:eastAsia="zh-CN"/>
              </w:rPr>
              <w:t>13980680653</w:t>
            </w:r>
          </w:p>
        </w:tc>
        <w:tc>
          <w:tcPr>
            <w:tcW w:w="1455" w:type="dxa"/>
            <w:vAlign w:val="center"/>
          </w:tcPr>
          <w:p>
            <w:pPr>
              <w:jc w:val="both"/>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质量负责人及电话</w:t>
            </w:r>
          </w:p>
        </w:tc>
        <w:tc>
          <w:tcPr>
            <w:tcW w:w="3559" w:type="dxa"/>
            <w:gridSpan w:val="3"/>
            <w:vAlign w:val="center"/>
          </w:tcPr>
          <w:p>
            <w:pPr>
              <w:jc w:val="both"/>
              <w:rPr>
                <w:rFonts w:hint="eastAsia" w:ascii="方正仿宋_GBK" w:hAnsi="宋体" w:eastAsia="方正仿宋_GBK" w:cs="宋体"/>
                <w:color w:val="000000"/>
                <w:kern w:val="2"/>
                <w:sz w:val="22"/>
                <w:szCs w:val="22"/>
                <w:lang w:val="en-US" w:eastAsia="zh-CN"/>
              </w:rPr>
            </w:pPr>
            <w:r>
              <w:rPr>
                <w:rFonts w:hint="eastAsia" w:ascii="方正仿宋_GBK" w:hAnsi="宋体" w:eastAsia="方正仿宋_GBK" w:cs="宋体"/>
                <w:color w:val="000000"/>
                <w:kern w:val="2"/>
                <w:sz w:val="22"/>
                <w:szCs w:val="22"/>
                <w:lang w:val="en-US" w:eastAsia="zh-CN"/>
              </w:rPr>
              <w:t>13980576284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trPr>
        <w:tc>
          <w:tcPr>
            <w:tcW w:w="1275" w:type="dxa"/>
            <w:gridSpan w:val="2"/>
            <w:vAlign w:val="center"/>
          </w:tcPr>
          <w:p>
            <w:pPr>
              <w:jc w:val="both"/>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经营范围</w:t>
            </w:r>
          </w:p>
        </w:tc>
        <w:tc>
          <w:tcPr>
            <w:tcW w:w="8505" w:type="dxa"/>
            <w:gridSpan w:val="6"/>
            <w:vAlign w:val="center"/>
          </w:tcPr>
          <w:p>
            <w:pPr>
              <w:jc w:val="both"/>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中药饮片、中成药、化学药制剂、抗生素制剂、生化药品、生物制品、（不包含预防性生物制品）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80" w:type="dxa"/>
            <w:gridSpan w:val="8"/>
          </w:tcPr>
          <w:p>
            <w:pPr>
              <w:spacing w:after="0"/>
              <w:jc w:val="center"/>
              <w:rPr>
                <w:rFonts w:ascii="方正小标宋简体" w:eastAsia="方正小标宋简体"/>
                <w:color w:val="000000"/>
                <w:kern w:val="2"/>
                <w:sz w:val="22"/>
                <w:szCs w:val="22"/>
              </w:rPr>
            </w:pPr>
            <w:r>
              <w:rPr>
                <w:rFonts w:hint="eastAsia" w:ascii="方正小标宋简体" w:eastAsia="方正小标宋简体"/>
                <w:color w:val="000000"/>
                <w:kern w:val="2"/>
                <w:sz w:val="22"/>
                <w:szCs w:val="22"/>
              </w:rPr>
              <w:t>自查内容情况表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tcPr>
          <w:p>
            <w:pPr>
              <w:spacing w:after="0"/>
              <w:jc w:val="cente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序号</w:t>
            </w:r>
          </w:p>
        </w:tc>
        <w:tc>
          <w:tcPr>
            <w:tcW w:w="6615" w:type="dxa"/>
            <w:gridSpan w:val="5"/>
          </w:tcPr>
          <w:p>
            <w:pPr>
              <w:spacing w:after="0"/>
              <w:jc w:val="cente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自查内容</w:t>
            </w:r>
          </w:p>
        </w:tc>
        <w:tc>
          <w:tcPr>
            <w:tcW w:w="1265" w:type="dxa"/>
          </w:tcPr>
          <w:p>
            <w:pPr>
              <w:spacing w:after="0"/>
              <w:jc w:val="cente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自查情况</w:t>
            </w:r>
          </w:p>
        </w:tc>
        <w:tc>
          <w:tcPr>
            <w:tcW w:w="1210" w:type="dxa"/>
          </w:tcPr>
          <w:p>
            <w:pPr>
              <w:spacing w:after="0"/>
              <w:jc w:val="cente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是否从个人或者无《药品生产许可证》《药品经营许可证》的单位购进药品。</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hint="eastAsia" w:ascii="方正仿宋_GBK" w:hAnsi="宋体" w:eastAsia="方正仿宋_GBK" w:cs="宋体"/>
                <w:color w:val="000000"/>
                <w:kern w:val="2"/>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2</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是否存在违法回收或参与回收药品，销售回收药品。是否非法购进医疗机构制剂并销售。</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hint="eastAsia" w:ascii="方正仿宋_GBK" w:hAnsi="宋体" w:eastAsia="方正仿宋_GBK" w:cs="宋体"/>
                <w:color w:val="000000"/>
                <w:kern w:val="2"/>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1"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3</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购进药品时，证（许可证书）、票（发票、随货同行票据）、账（实物账、财务账）、货（药品实物）、款（货款）相关信息（单位、品名、规格、批号、金额、付款流向等）等与实际是否相互对应一致。购进药品是否按照</w:t>
            </w:r>
            <w:r>
              <w:rPr>
                <w:rFonts w:ascii="方正仿宋_GBK" w:hAnsi="宋体" w:eastAsia="方正仿宋_GBK" w:cs="宋体"/>
                <w:color w:val="000000"/>
                <w:kern w:val="2"/>
                <w:sz w:val="22"/>
                <w:szCs w:val="22"/>
              </w:rPr>
              <w:t>GSP</w:t>
            </w:r>
            <w:r>
              <w:rPr>
                <w:rFonts w:hint="eastAsia" w:ascii="方正仿宋_GBK" w:hAnsi="宋体" w:eastAsia="方正仿宋_GBK" w:cs="宋体"/>
                <w:color w:val="000000"/>
                <w:kern w:val="2"/>
                <w:sz w:val="22"/>
                <w:szCs w:val="22"/>
              </w:rPr>
              <w:t>相关规定进行计算机系统管理，实现药品可追溯。</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hint="eastAsia" w:ascii="方正仿宋_GBK" w:hAnsi="宋体" w:eastAsia="方正仿宋_GBK" w:cs="宋体"/>
                <w:color w:val="000000"/>
                <w:kern w:val="2"/>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4</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是否购进、销售假劣药品，或将非药品冒充药品进行宣传、销售。</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hint="eastAsia" w:ascii="方正仿宋_GBK" w:hAnsi="宋体" w:eastAsia="方正仿宋_GBK" w:cs="宋体"/>
                <w:color w:val="000000"/>
                <w:kern w:val="2"/>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5</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是否以中药材及其初加工产品非法加工、私自炮制、非法分装冒充中药饮片销售。</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hint="eastAsia" w:ascii="方正仿宋_GBK" w:hAnsi="宋体" w:eastAsia="方正仿宋_GBK" w:cs="宋体"/>
                <w:color w:val="000000"/>
                <w:kern w:val="2"/>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6</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是否存在出租、出借柜台等为他人非法经营提供便利的行为。</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hint="eastAsia" w:ascii="方正仿宋_GBK" w:hAnsi="宋体" w:eastAsia="方正仿宋_GBK" w:cs="宋体"/>
                <w:color w:val="000000"/>
                <w:kern w:val="2"/>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11"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7</w:t>
            </w:r>
          </w:p>
        </w:tc>
        <w:tc>
          <w:tcPr>
            <w:tcW w:w="6615" w:type="dxa"/>
            <w:gridSpan w:val="5"/>
          </w:tcPr>
          <w:p>
            <w:pP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存在：销售国家明令禁止零售的品种，如麻醉药品、第一类精神药品、米非司酮（含紧急避孕类米非司酮制剂）等；非定点药店销售第二类精神药品；未严格按照《关于进一步规范血液制品流通使用管理的通知》（成食药办【</w:t>
            </w:r>
            <w:r>
              <w:rPr>
                <w:rFonts w:ascii="方正仿宋_GBK" w:hAnsi="宋体" w:eastAsia="方正仿宋_GBK" w:cs="宋体"/>
                <w:color w:val="000000"/>
                <w:kern w:val="2"/>
                <w:sz w:val="22"/>
                <w:szCs w:val="22"/>
              </w:rPr>
              <w:t>2018</w:t>
            </w:r>
            <w:r>
              <w:rPr>
                <w:rFonts w:hint="eastAsia" w:ascii="方正仿宋_GBK" w:hAnsi="宋体" w:eastAsia="方正仿宋_GBK" w:cs="宋体"/>
                <w:color w:val="000000"/>
                <w:kern w:val="2"/>
                <w:sz w:val="22"/>
                <w:szCs w:val="22"/>
              </w:rPr>
              <w:t>】</w:t>
            </w:r>
            <w:r>
              <w:rPr>
                <w:rFonts w:ascii="方正仿宋_GBK" w:hAnsi="宋体" w:eastAsia="方正仿宋_GBK" w:cs="宋体"/>
                <w:color w:val="000000"/>
                <w:kern w:val="2"/>
                <w:sz w:val="22"/>
                <w:szCs w:val="22"/>
              </w:rPr>
              <w:t>43</w:t>
            </w:r>
            <w:r>
              <w:rPr>
                <w:rFonts w:hint="eastAsia" w:ascii="方正仿宋_GBK" w:hAnsi="宋体" w:eastAsia="方正仿宋_GBK" w:cs="宋体"/>
                <w:color w:val="000000"/>
                <w:kern w:val="2"/>
                <w:sz w:val="22"/>
                <w:szCs w:val="22"/>
              </w:rPr>
              <w:t>号）经营使用血液制品，违反药监部门的相关规定销售含特殊药品复方制剂等药品。</w:t>
            </w:r>
          </w:p>
        </w:tc>
        <w:tc>
          <w:tcPr>
            <w:tcW w:w="1265" w:type="dxa"/>
          </w:tcPr>
          <w:p>
            <w:pP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hint="eastAsia" w:ascii="方正仿宋_GBK" w:hAnsi="宋体" w:eastAsia="方正仿宋_GBK" w:cs="宋体"/>
                <w:color w:val="000000"/>
                <w:kern w:val="2"/>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8</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是否无证经营药品（含许可证失效后继续经营的行为），超范围、超方式经营药品。</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hint="eastAsia" w:ascii="方正仿宋_GBK" w:hAnsi="宋体" w:eastAsia="方正仿宋_GBK" w:cs="宋体"/>
                <w:color w:val="000000"/>
                <w:kern w:val="2"/>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1"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9</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购进药品是否索取发票（含应税劳务清单）及随货同行单等票据。索取发票上的购、销单位名称及金额、品名是否与付款流向及金额、品名一致，并与财务账目内容相对应。</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hint="eastAsia" w:ascii="方正仿宋_GBK" w:hAnsi="宋体" w:eastAsia="方正仿宋_GBK" w:cs="宋体"/>
                <w:color w:val="000000"/>
                <w:kern w:val="2"/>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10</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是否严格按照药品的贮藏要求储存、陈列药品。经营冷藏药品的，是否有专用冷藏设备，其专用设备是否与其经营品种及经营规模相适应。</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hint="eastAsia" w:ascii="方正仿宋_GBK" w:hAnsi="宋体" w:eastAsia="方正仿宋_GBK" w:cs="宋体"/>
                <w:color w:val="000000"/>
                <w:kern w:val="2"/>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11</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是否违反处方药与非处方药分类管理规定，不凭处方销售抗菌药物等处方药品。</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hint="eastAsia" w:ascii="方正仿宋_GBK" w:hAnsi="宋体" w:eastAsia="方正仿宋_GBK" w:cs="宋体"/>
                <w:color w:val="000000"/>
                <w:kern w:val="2"/>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12</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执业药师是否存在挂证、不在岗履职的行为</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hint="eastAsia" w:ascii="方正仿宋_GBK" w:hAnsi="宋体" w:eastAsia="方正仿宋_GBK" w:cs="宋体"/>
                <w:color w:val="000000"/>
                <w:kern w:val="2"/>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13</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是否严格按照市局相关文件要求开展远程执业药师药学服务和电子处方试点。</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hint="eastAsia" w:ascii="方正仿宋_GBK" w:hAnsi="宋体" w:eastAsia="方正仿宋_GBK" w:cs="宋体"/>
                <w:color w:val="000000"/>
                <w:kern w:val="2"/>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690" w:type="dxa"/>
            <w:vMerge w:val="restart"/>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14</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是否存在网络非法制售药品、网络销售处方药和国家有专门管理要求的药品的行为。</w:t>
            </w:r>
            <w:r>
              <w:rPr>
                <w:rFonts w:ascii="方正仿宋_GBK" w:hAnsi="宋体" w:eastAsia="方正仿宋_GBK" w:cs="宋体"/>
                <w:color w:val="000000"/>
                <w:kern w:val="2"/>
                <w:sz w:val="22"/>
                <w:szCs w:val="22"/>
              </w:rPr>
              <w:t xml:space="preserve"> </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hint="eastAsia" w:ascii="方正仿宋_GBK" w:hAnsi="宋体" w:eastAsia="方正仿宋_GBK" w:cs="宋体"/>
                <w:color w:val="000000"/>
                <w:kern w:val="2"/>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90" w:type="dxa"/>
            <w:vMerge w:val="continue"/>
          </w:tcPr>
          <w:p>
            <w:pPr>
              <w:spacing w:after="0"/>
              <w:rPr>
                <w:rFonts w:ascii="方正仿宋_GBK" w:hAnsi="宋体" w:eastAsia="方正仿宋_GBK" w:cs="宋体"/>
                <w:color w:val="000000"/>
                <w:kern w:val="2"/>
                <w:sz w:val="22"/>
                <w:szCs w:val="22"/>
              </w:rPr>
            </w:pP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开展网络药品经营的零售企业，是否按照“网上网下一致”的原则网售药品。是否建立在线药学服务制度，配备执业药师，指导合理用药；是否网络发布处方药信息；是否按规定向消费者出具销售凭证。</w:t>
            </w:r>
            <w:r>
              <w:rPr>
                <w:rFonts w:ascii="方正仿宋_GBK" w:hAnsi="宋体" w:eastAsia="方正仿宋_GBK" w:cs="宋体"/>
                <w:color w:val="000000"/>
                <w:kern w:val="2"/>
                <w:sz w:val="22"/>
                <w:szCs w:val="22"/>
              </w:rPr>
              <w:t xml:space="preserve"> </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hint="eastAsia" w:ascii="方正仿宋_GBK" w:hAnsi="宋体" w:eastAsia="方正仿宋_GBK" w:cs="宋体"/>
                <w:color w:val="000000"/>
                <w:kern w:val="2"/>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4" w:hRule="atLeast"/>
        </w:trPr>
        <w:tc>
          <w:tcPr>
            <w:tcW w:w="9780" w:type="dxa"/>
            <w:gridSpan w:val="8"/>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自查结论（可另附页）</w:t>
            </w:r>
          </w:p>
          <w:p>
            <w:pPr>
              <w:spacing w:after="0"/>
              <w:rPr>
                <w:rFonts w:ascii="方正仿宋_GBK" w:hAnsi="宋体" w:eastAsia="方正仿宋_GBK" w:cs="宋体"/>
                <w:color w:val="000000"/>
                <w:kern w:val="2"/>
                <w:sz w:val="22"/>
                <w:szCs w:val="22"/>
              </w:rPr>
            </w:pP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4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方正仿宋_GBK" w:hAnsi="宋体" w:eastAsia="方正仿宋_GBK" w:cs="宋体"/>
                <w:color w:val="000000"/>
                <w:kern w:val="2"/>
                <w:sz w:val="22"/>
                <w:szCs w:val="22"/>
              </w:rPr>
              <w:t>自查结论（可另附页）</w:t>
            </w:r>
            <w:r>
              <w:rPr>
                <w:rFonts w:hint="eastAsia" w:ascii="方正仿宋_GBK" w:hAnsi="宋体" w:eastAsia="方正仿宋_GBK" w:cs="宋体"/>
                <w:color w:val="000000"/>
                <w:kern w:val="2"/>
                <w:sz w:val="22"/>
                <w:szCs w:val="22"/>
                <w:lang w:val="en-US" w:eastAsia="zh-CN"/>
              </w:rPr>
              <w:t>1.</w:t>
            </w:r>
            <w:r>
              <w:rPr>
                <w:rFonts w:hint="eastAsia" w:ascii="宋体" w:hAnsi="宋体" w:eastAsia="宋体" w:cs="宋体"/>
                <w:b w:val="0"/>
                <w:i w:val="0"/>
                <w:caps w:val="0"/>
                <w:color w:val="000000"/>
                <w:spacing w:val="0"/>
                <w:sz w:val="24"/>
                <w:szCs w:val="24"/>
                <w:highlight w:val="none"/>
                <w:shd w:val="clear" w:color="auto" w:fill="FFFFFF"/>
                <w:lang w:eastAsia="zh-CN"/>
              </w:rPr>
              <w:t>我店有</w:t>
            </w:r>
            <w:r>
              <w:rPr>
                <w:rFonts w:hint="eastAsia" w:cs="宋体"/>
                <w:b w:val="0"/>
                <w:i w:val="0"/>
                <w:caps w:val="0"/>
                <w:color w:val="000000"/>
                <w:spacing w:val="0"/>
                <w:sz w:val="24"/>
                <w:szCs w:val="24"/>
                <w:highlight w:val="none"/>
                <w:shd w:val="clear" w:color="auto" w:fill="FFFFFF"/>
                <w:lang w:val="en-US" w:eastAsia="zh-CN"/>
              </w:rPr>
              <w:t>60个</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阴凉</w:t>
            </w:r>
            <w:r>
              <w:rPr>
                <w:rFonts w:hint="eastAsia" w:ascii="宋体" w:hAnsi="宋体" w:eastAsia="宋体" w:cs="宋体"/>
                <w:b w:val="0"/>
                <w:bCs w:val="0"/>
                <w:i w:val="0"/>
                <w:caps w:val="0"/>
                <w:color w:val="000000"/>
                <w:spacing w:val="0"/>
                <w:sz w:val="24"/>
                <w:szCs w:val="24"/>
                <w:highlight w:val="none"/>
                <w:shd w:val="clear" w:color="auto" w:fill="FFFFFF"/>
              </w:rPr>
              <w:t>贮藏</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的药品未按储存要求进行储存、陈列；2</w:t>
            </w:r>
            <w:r>
              <w:rPr>
                <w:rFonts w:hint="eastAsia" w:cs="宋体"/>
                <w:b w:val="0"/>
                <w:bCs w:val="0"/>
                <w:i w:val="0"/>
                <w:caps w:val="0"/>
                <w:color w:val="000000"/>
                <w:spacing w:val="0"/>
                <w:sz w:val="24"/>
                <w:szCs w:val="24"/>
                <w:highlight w:val="none"/>
                <w:shd w:val="clear" w:color="auto" w:fill="FFFFFF"/>
                <w:lang w:val="en-US" w:eastAsia="zh-CN"/>
              </w:rPr>
              <w:t>.</w:t>
            </w:r>
            <w:r>
              <w:rPr>
                <w:rFonts w:hint="eastAsia" w:ascii="宋体" w:hAnsi="宋体" w:eastAsia="宋体" w:cs="宋体"/>
                <w:b w:val="0"/>
                <w:i w:val="0"/>
                <w:caps w:val="0"/>
                <w:color w:val="000000"/>
                <w:spacing w:val="0"/>
                <w:sz w:val="24"/>
                <w:szCs w:val="24"/>
                <w:highlight w:val="none"/>
                <w:shd w:val="clear" w:color="auto" w:fill="FFFFFF"/>
                <w:lang w:eastAsia="zh-CN"/>
              </w:rPr>
              <w:t>个别语言交流不便的顾客，不愿意进行远程处方，偶有店员代为咨询、开具处方的情况。</w:t>
            </w:r>
          </w:p>
          <w:p>
            <w:pPr>
              <w:spacing w:after="0"/>
              <w:rPr>
                <w:rFonts w:ascii="方正仿宋_GBK" w:hAnsi="宋体" w:eastAsia="方正仿宋_GBK" w:cs="宋体"/>
                <w:color w:val="000000"/>
                <w:kern w:val="2"/>
                <w:sz w:val="22"/>
                <w:szCs w:val="22"/>
              </w:rPr>
            </w:pPr>
          </w:p>
          <w:p>
            <w:pPr>
              <w:spacing w:after="0"/>
              <w:rPr>
                <w:rFonts w:ascii="方正仿宋_GBK" w:hAnsi="宋体" w:eastAsia="方正仿宋_GBK" w:cs="宋体"/>
                <w:color w:val="000000"/>
                <w:kern w:val="2"/>
                <w:sz w:val="22"/>
                <w:szCs w:val="22"/>
              </w:rPr>
            </w:pPr>
          </w:p>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4" w:hRule="atLeast"/>
        </w:trPr>
        <w:tc>
          <w:tcPr>
            <w:tcW w:w="9780" w:type="dxa"/>
            <w:gridSpan w:val="8"/>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整改措施（可另附页）</w:t>
            </w:r>
          </w:p>
          <w:p>
            <w:pPr>
              <w:spacing w:after="0"/>
              <w:rPr>
                <w:rFonts w:ascii="方正仿宋_GBK" w:hAnsi="宋体" w:eastAsia="方正仿宋_GBK" w:cs="宋体"/>
                <w:color w:val="000000"/>
                <w:kern w:val="2"/>
                <w:sz w:val="22"/>
                <w:szCs w:val="22"/>
              </w:rPr>
            </w:pP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4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方正仿宋_GBK" w:hAnsi="宋体" w:eastAsia="方正仿宋_GBK" w:cs="宋体"/>
                <w:color w:val="000000"/>
                <w:kern w:val="2"/>
                <w:sz w:val="22"/>
                <w:szCs w:val="22"/>
              </w:rPr>
              <w:t>整改措施（可另附页）</w:t>
            </w:r>
            <w:r>
              <w:rPr>
                <w:rFonts w:hint="eastAsia" w:ascii="方正仿宋_GBK" w:hAnsi="宋体" w:eastAsia="方正仿宋_GBK" w:cs="宋体"/>
                <w:color w:val="000000"/>
                <w:kern w:val="2"/>
                <w:sz w:val="22"/>
                <w:szCs w:val="22"/>
                <w:lang w:val="en-US" w:eastAsia="zh-CN"/>
              </w:rPr>
              <w:t xml:space="preserve"> </w:t>
            </w:r>
            <w:r>
              <w:rPr>
                <w:rFonts w:hint="eastAsia" w:ascii="方正仿宋_GBK" w:eastAsia="方正仿宋_GBK" w:cs="宋体"/>
                <w:color w:val="000000"/>
                <w:kern w:val="2"/>
                <w:sz w:val="22"/>
                <w:szCs w:val="22"/>
                <w:lang w:val="en-US" w:eastAsia="zh-CN"/>
              </w:rPr>
              <w:t>1.</w:t>
            </w:r>
            <w:r>
              <w:rPr>
                <w:rFonts w:hint="eastAsia" w:ascii="方正仿宋_GBK" w:hAnsi="宋体" w:eastAsia="方正仿宋_GBK" w:cs="宋体"/>
                <w:color w:val="000000"/>
                <w:kern w:val="2"/>
                <w:sz w:val="22"/>
                <w:szCs w:val="22"/>
                <w:lang w:val="en-US" w:eastAsia="zh-CN"/>
              </w:rPr>
              <w:t xml:space="preserve"> </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逐一查核了所有药品的</w:t>
            </w:r>
            <w:r>
              <w:rPr>
                <w:rFonts w:hint="eastAsia" w:ascii="宋体" w:hAnsi="宋体" w:eastAsia="宋体" w:cs="宋体"/>
                <w:b w:val="0"/>
                <w:bCs w:val="0"/>
                <w:i w:val="0"/>
                <w:caps w:val="0"/>
                <w:color w:val="000000"/>
                <w:spacing w:val="0"/>
                <w:sz w:val="24"/>
                <w:szCs w:val="24"/>
                <w:highlight w:val="none"/>
                <w:shd w:val="clear" w:color="auto" w:fill="FFFFFF"/>
              </w:rPr>
              <w:t>贮藏</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要求，全部按照药品的储藏要求进行储存、陈列，现已调整到位</w:t>
            </w:r>
            <w:r>
              <w:rPr>
                <w:rFonts w:hint="eastAsia" w:cs="宋体"/>
                <w:b w:val="0"/>
                <w:bCs w:val="0"/>
                <w:i w:val="0"/>
                <w:caps w:val="0"/>
                <w:color w:val="000000"/>
                <w:spacing w:val="0"/>
                <w:sz w:val="24"/>
                <w:szCs w:val="24"/>
                <w:highlight w:val="none"/>
                <w:shd w:val="clear" w:color="auto" w:fill="FFFFFF"/>
                <w:lang w:val="en-US" w:eastAsia="zh-CN"/>
              </w:rPr>
              <w:t xml:space="preserve">；2. </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坚持销售抗菌药物等处方药品全部凭处方销售，对于</w:t>
            </w:r>
            <w:r>
              <w:rPr>
                <w:rFonts w:hint="eastAsia" w:ascii="宋体" w:hAnsi="宋体" w:eastAsia="宋体" w:cs="宋体"/>
                <w:b w:val="0"/>
                <w:i w:val="0"/>
                <w:caps w:val="0"/>
                <w:color w:val="000000"/>
                <w:spacing w:val="0"/>
                <w:sz w:val="24"/>
                <w:szCs w:val="24"/>
                <w:highlight w:val="none"/>
                <w:shd w:val="clear" w:color="auto" w:fill="FFFFFF"/>
                <w:lang w:eastAsia="zh-CN"/>
              </w:rPr>
              <w:t>语言交流不便的顾客，耐心向顾客解释，让顾客与店员同时出现在摄像范围，向远程处方医生咨询开具处方，经执业药师审核后销售。</w:t>
            </w:r>
          </w:p>
          <w:p>
            <w:pPr>
              <w:spacing w:after="0"/>
              <w:rPr>
                <w:rFonts w:ascii="方正仿宋_GBK" w:hAnsi="宋体" w:eastAsia="方正仿宋_GBK" w:cs="宋体"/>
                <w:color w:val="000000"/>
                <w:kern w:val="2"/>
                <w:sz w:val="22"/>
                <w:szCs w:val="22"/>
              </w:rPr>
            </w:pPr>
          </w:p>
          <w:p>
            <w:pPr>
              <w:spacing w:after="0"/>
              <w:rPr>
                <w:rFonts w:ascii="方正仿宋_GBK" w:hAnsi="宋体" w:eastAsia="方正仿宋_GBK" w:cs="宋体"/>
                <w:color w:val="000000"/>
                <w:kern w:val="2"/>
                <w:sz w:val="22"/>
                <w:szCs w:val="22"/>
              </w:rPr>
            </w:pP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0" w:hRule="atLeast"/>
        </w:trPr>
        <w:tc>
          <w:tcPr>
            <w:tcW w:w="4007" w:type="dxa"/>
            <w:gridSpan w:val="3"/>
            <w:tcBorders>
              <w:left w:val="single" w:color="auto" w:sz="4" w:space="0"/>
              <w:bottom w:val="single" w:color="auto" w:sz="4" w:space="0"/>
              <w:right w:val="single" w:color="auto" w:sz="4" w:space="0"/>
            </w:tcBorders>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自查人员签名</w:t>
            </w:r>
          </w:p>
          <w:p>
            <w:pPr>
              <w:spacing w:after="0"/>
              <w:ind w:left="1960" w:hanging="1540" w:hangingChars="700"/>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lang w:eastAsia="zh-CN"/>
              </w:rPr>
              <w:t>夏彩红</w:t>
            </w:r>
          </w:p>
          <w:p>
            <w:pPr>
              <w:spacing w:after="0"/>
              <w:ind w:left="1960" w:hanging="1540" w:hangingChars="700"/>
              <w:rPr>
                <w:rFonts w:ascii="方正仿宋_GBK" w:hAnsi="宋体" w:eastAsia="方正仿宋_GBK" w:cs="宋体"/>
                <w:color w:val="000000"/>
                <w:kern w:val="2"/>
                <w:sz w:val="22"/>
                <w:szCs w:val="22"/>
              </w:rPr>
            </w:pPr>
          </w:p>
          <w:p>
            <w:pPr>
              <w:spacing w:after="0"/>
              <w:ind w:left="1540" w:leftChars="450" w:hanging="550" w:hangingChars="250"/>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lang w:val="en-US" w:eastAsia="zh-CN"/>
              </w:rPr>
              <w:t>2018</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年</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lang w:val="en-US" w:eastAsia="zh-CN"/>
              </w:rPr>
              <w:t>3</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月</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lang w:val="en-US" w:eastAsia="zh-CN"/>
              </w:rPr>
              <w:t>29</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日</w:t>
            </w:r>
          </w:p>
        </w:tc>
        <w:tc>
          <w:tcPr>
            <w:tcW w:w="5773" w:type="dxa"/>
            <w:gridSpan w:val="5"/>
            <w:tcBorders>
              <w:left w:val="single" w:color="auto" w:sz="4" w:space="0"/>
              <w:bottom w:val="single" w:color="auto" w:sz="4" w:space="0"/>
              <w:right w:val="single" w:color="auto" w:sz="4" w:space="0"/>
            </w:tcBorders>
          </w:tcPr>
          <w:p>
            <w:pPr>
              <w:spacing w:after="0" w:line="280" w:lineRule="atLeast"/>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企业法定代表人</w:t>
            </w:r>
            <w:r>
              <w:rPr>
                <w:rFonts w:ascii="方正仿宋_GBK" w:hAnsi="宋体" w:eastAsia="方正仿宋_GBK" w:cs="宋体"/>
                <w:color w:val="000000"/>
                <w:kern w:val="2"/>
                <w:sz w:val="22"/>
                <w:szCs w:val="22"/>
              </w:rPr>
              <w:t>/</w:t>
            </w:r>
            <w:r>
              <w:rPr>
                <w:rFonts w:hint="eastAsia" w:ascii="方正仿宋_GBK" w:hAnsi="宋体" w:eastAsia="方正仿宋_GBK" w:cs="宋体"/>
                <w:color w:val="000000"/>
                <w:kern w:val="2"/>
                <w:sz w:val="22"/>
                <w:szCs w:val="22"/>
              </w:rPr>
              <w:t>企业负责人签名</w:t>
            </w:r>
          </w:p>
          <w:p>
            <w:pPr>
              <w:spacing w:after="0" w:line="280" w:lineRule="atLeast"/>
              <w:ind w:firstLine="1100" w:firstLineChars="50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（盖章）：</w:t>
            </w:r>
            <w:bookmarkStart w:id="0" w:name="_GoBack"/>
            <w:bookmarkEnd w:id="0"/>
          </w:p>
          <w:p>
            <w:pPr>
              <w:spacing w:after="0" w:line="280" w:lineRule="atLeast"/>
              <w:ind w:firstLine="1100" w:firstLineChars="500"/>
              <w:rPr>
                <w:rFonts w:ascii="方正仿宋_GBK" w:hAnsi="宋体" w:eastAsia="方正仿宋_GBK" w:cs="宋体"/>
                <w:color w:val="000000"/>
                <w:kern w:val="2"/>
                <w:sz w:val="22"/>
                <w:szCs w:val="22"/>
              </w:rPr>
            </w:pPr>
          </w:p>
          <w:p>
            <w:pPr>
              <w:spacing w:after="0"/>
              <w:ind w:left="1680" w:hanging="1320" w:hangingChars="600"/>
              <w:jc w:val="right"/>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年</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月</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日</w:t>
            </w:r>
          </w:p>
        </w:tc>
      </w:tr>
    </w:tbl>
    <w:p>
      <w:pPr>
        <w:spacing w:after="0"/>
        <w:jc w:val="both"/>
        <w:rPr>
          <w:rFonts w:ascii="方正仿宋_GBK" w:hAnsi="宋体" w:eastAsia="方正仿宋_GBK" w:cs="宋体"/>
          <w:color w:val="000000"/>
          <w:sz w:val="24"/>
          <w:szCs w:val="24"/>
        </w:rPr>
      </w:pPr>
      <w:r>
        <w:rPr>
          <w:rFonts w:hint="eastAsia" w:ascii="方正仿宋_GBK" w:hAnsi="宋体" w:eastAsia="方正仿宋_GBK" w:cs="宋体"/>
          <w:color w:val="000000"/>
          <w:sz w:val="24"/>
          <w:szCs w:val="24"/>
        </w:rPr>
        <w:t>填表说明：</w:t>
      </w:r>
      <w:r>
        <w:rPr>
          <w:rFonts w:ascii="方正仿宋_GBK" w:hAnsi="宋体" w:eastAsia="方正仿宋_GBK" w:cs="宋体"/>
          <w:color w:val="000000"/>
          <w:sz w:val="24"/>
          <w:szCs w:val="24"/>
        </w:rPr>
        <w:t>1.</w:t>
      </w:r>
      <w:r>
        <w:rPr>
          <w:rFonts w:hint="eastAsia" w:ascii="方正仿宋_GBK" w:hAnsi="宋体" w:eastAsia="方正仿宋_GBK" w:cs="宋体"/>
          <w:color w:val="000000"/>
          <w:sz w:val="24"/>
          <w:szCs w:val="24"/>
        </w:rPr>
        <w:t>未进入远程试点的药品零售企业不用自查本表第</w:t>
      </w:r>
      <w:r>
        <w:rPr>
          <w:rFonts w:ascii="方正仿宋_GBK" w:hAnsi="宋体" w:eastAsia="方正仿宋_GBK" w:cs="宋体"/>
          <w:color w:val="000000"/>
          <w:sz w:val="24"/>
          <w:szCs w:val="24"/>
        </w:rPr>
        <w:t>13</w:t>
      </w:r>
      <w:r>
        <w:rPr>
          <w:rFonts w:hint="eastAsia" w:ascii="方正仿宋_GBK" w:hAnsi="宋体" w:eastAsia="方正仿宋_GBK" w:cs="宋体"/>
          <w:color w:val="000000"/>
          <w:sz w:val="24"/>
          <w:szCs w:val="24"/>
        </w:rPr>
        <w:t>项内容；</w:t>
      </w:r>
    </w:p>
    <w:p>
      <w:pPr>
        <w:spacing w:after="0"/>
        <w:rPr>
          <w:rFonts w:ascii="方正仿宋_GBK" w:hAnsi="宋体" w:eastAsia="方正仿宋_GBK" w:cs="宋体"/>
          <w:color w:val="000000"/>
          <w:sz w:val="24"/>
          <w:szCs w:val="24"/>
        </w:rPr>
      </w:pPr>
      <w:r>
        <w:rPr>
          <w:rFonts w:ascii="方正仿宋_GBK" w:hAnsi="宋体" w:eastAsia="方正仿宋_GBK" w:cs="宋体"/>
          <w:color w:val="000000"/>
          <w:sz w:val="24"/>
          <w:szCs w:val="24"/>
        </w:rPr>
        <w:t xml:space="preserve">           2.</w:t>
      </w:r>
      <w:r>
        <w:rPr>
          <w:rFonts w:hint="eastAsia" w:ascii="方正仿宋_GBK" w:hAnsi="宋体" w:eastAsia="方正仿宋_GBK" w:cs="宋体"/>
          <w:color w:val="000000"/>
          <w:kern w:val="2"/>
          <w:sz w:val="24"/>
          <w:szCs w:val="24"/>
        </w:rPr>
        <w:t>未开展网络销售药品的药店不用自查</w:t>
      </w:r>
      <w:r>
        <w:rPr>
          <w:rFonts w:ascii="方正仿宋_GBK" w:hAnsi="宋体" w:eastAsia="方正仿宋_GBK" w:cs="宋体"/>
          <w:color w:val="000000"/>
          <w:sz w:val="24"/>
          <w:szCs w:val="24"/>
        </w:rPr>
        <w:t>14</w:t>
      </w:r>
      <w:r>
        <w:rPr>
          <w:rFonts w:hint="eastAsia" w:ascii="方正仿宋_GBK" w:hAnsi="宋体" w:eastAsia="方正仿宋_GBK" w:cs="宋体"/>
          <w:color w:val="000000"/>
          <w:sz w:val="24"/>
          <w:szCs w:val="24"/>
        </w:rPr>
        <w:t>项</w:t>
      </w:r>
      <w:r>
        <w:rPr>
          <w:rFonts w:hint="eastAsia" w:ascii="方正仿宋_GBK" w:hAnsi="宋体" w:eastAsia="方正仿宋_GBK" w:cs="宋体"/>
          <w:color w:val="000000"/>
          <w:kern w:val="2"/>
          <w:sz w:val="24"/>
          <w:szCs w:val="24"/>
        </w:rPr>
        <w:t>内容；</w:t>
      </w:r>
    </w:p>
    <w:p>
      <w:pPr>
        <w:spacing w:after="0"/>
        <w:rPr>
          <w:rFonts w:ascii="方正仿宋_GBK" w:hAnsi="宋体" w:eastAsia="方正仿宋_GBK" w:cs="宋体"/>
          <w:color w:val="000000"/>
          <w:sz w:val="24"/>
          <w:szCs w:val="24"/>
        </w:rPr>
      </w:pPr>
      <w:r>
        <w:rPr>
          <w:rFonts w:ascii="方正仿宋_GBK" w:hAnsi="宋体" w:eastAsia="方正仿宋_GBK" w:cs="宋体"/>
          <w:color w:val="000000"/>
          <w:sz w:val="24"/>
          <w:szCs w:val="24"/>
        </w:rPr>
        <w:t xml:space="preserve">           3.</w:t>
      </w:r>
      <w:r>
        <w:rPr>
          <w:rFonts w:hint="eastAsia" w:ascii="方正仿宋_GBK" w:hAnsi="宋体" w:eastAsia="方正仿宋_GBK" w:cs="宋体"/>
          <w:color w:val="000000"/>
          <w:sz w:val="24"/>
          <w:szCs w:val="24"/>
        </w:rPr>
        <w:t>本表备注栏对自查情况栏填“是”的，必须对相应项目进行补充说明和解释。</w:t>
      </w:r>
      <w:r>
        <w:rPr>
          <w:rFonts w:ascii="方正仿宋_GBK" w:hAnsi="宋体" w:eastAsia="方正仿宋_GBK" w:cs="宋体"/>
          <w:color w:val="000000"/>
          <w:sz w:val="24"/>
          <w:szCs w:val="24"/>
        </w:rPr>
        <w:t xml:space="preserve">           </w:t>
      </w:r>
    </w:p>
    <w:sectPr>
      <w:headerReference r:id="rId3" w:type="default"/>
      <w:footerReference r:id="rId4" w:type="default"/>
      <w:pgSz w:w="11906" w:h="16838"/>
      <w:pgMar w:top="1247" w:right="1474" w:bottom="1247"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简体">
    <w:altName w:val="微软雅黑"/>
    <w:panose1 w:val="00000000000000000000"/>
    <w:charset w:val="86"/>
    <w:family w:val="roman"/>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4"/>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j&#10;0coStwEAAFcDAAAOAAAAAAAAAAEAIAAAAB4BAABkcnMvZTJvRG9jLnhtbFBLBQYAAAAABgAGAFkB&#10;AABHBQAAAAA=&#10;">
              <v:fill on="f" focussize="0,0"/>
              <v:stroke on="f"/>
              <v:imagedata o:title=""/>
              <o:lock v:ext="edit" aspectratio="f"/>
              <v:textbox inset="0mm,0mm,0mm,0mm" style="mso-fit-shape-to-text:t;">
                <w:txbxContent>
                  <w:p>
                    <w:pPr>
                      <w:pStyle w:val="4"/>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drawingGridHorizontalSpacing w:val="110"/>
  <w:drawingGridVerticalSpacing w:val="156"/>
  <w:noPunctuationKerning w:val="1"/>
  <w:characterSpacingControl w:val="doNotCompress"/>
  <w:noLineBreaksAfter w:lang="zh-CN" w:val="$([{£¥·‘“〈《「『【〔〖〝﹙﹛﹝＄（．［｛￡￥"/>
  <w:noLineBreaksBefore w:lang="zh-CN" w:val="!%),.:;&gt;?]}¢¨°·ˇˉ―‖’”…‰′″›℃∶、。〃〉》」』】〕〗〞︶︺︾﹀﹄﹚﹜﹞！＂％＇），．：；？］｀｜｝～￠"/>
  <w:hdrShapeDefaults>
    <o:shapelayout v:ext="edit">
      <o:idmap v:ext="edit" data="3,4"/>
    </o:shapelayout>
  </w:hdrShapeDefaults>
  <w:compat>
    <w:doNotExpandShiftReturn/>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1099C"/>
    <w:rsid w:val="000533D3"/>
    <w:rsid w:val="00092496"/>
    <w:rsid w:val="000E6C16"/>
    <w:rsid w:val="000E7D12"/>
    <w:rsid w:val="00137A4E"/>
    <w:rsid w:val="00150FE3"/>
    <w:rsid w:val="00151F28"/>
    <w:rsid w:val="00181B09"/>
    <w:rsid w:val="001D0486"/>
    <w:rsid w:val="001E7DE6"/>
    <w:rsid w:val="0020184C"/>
    <w:rsid w:val="0020479B"/>
    <w:rsid w:val="00242CB4"/>
    <w:rsid w:val="00250F85"/>
    <w:rsid w:val="002F2003"/>
    <w:rsid w:val="00300CD8"/>
    <w:rsid w:val="00323B43"/>
    <w:rsid w:val="003254F4"/>
    <w:rsid w:val="00330244"/>
    <w:rsid w:val="003542F9"/>
    <w:rsid w:val="00364C8C"/>
    <w:rsid w:val="003B386B"/>
    <w:rsid w:val="003D37D8"/>
    <w:rsid w:val="003D6D97"/>
    <w:rsid w:val="00403C4F"/>
    <w:rsid w:val="0040562C"/>
    <w:rsid w:val="004216B9"/>
    <w:rsid w:val="0042196A"/>
    <w:rsid w:val="00426133"/>
    <w:rsid w:val="004358AB"/>
    <w:rsid w:val="004460F3"/>
    <w:rsid w:val="00455EF8"/>
    <w:rsid w:val="00514F2F"/>
    <w:rsid w:val="00547C2A"/>
    <w:rsid w:val="005560DC"/>
    <w:rsid w:val="00581248"/>
    <w:rsid w:val="00591991"/>
    <w:rsid w:val="005D0E67"/>
    <w:rsid w:val="005E2BDB"/>
    <w:rsid w:val="006058FC"/>
    <w:rsid w:val="0063629B"/>
    <w:rsid w:val="00652038"/>
    <w:rsid w:val="006C0328"/>
    <w:rsid w:val="006D6B30"/>
    <w:rsid w:val="006F4B00"/>
    <w:rsid w:val="006F5B6D"/>
    <w:rsid w:val="00727997"/>
    <w:rsid w:val="007D41D1"/>
    <w:rsid w:val="007E7AB3"/>
    <w:rsid w:val="008233BA"/>
    <w:rsid w:val="00841FE2"/>
    <w:rsid w:val="00872CB3"/>
    <w:rsid w:val="008B7726"/>
    <w:rsid w:val="0093509E"/>
    <w:rsid w:val="009E051D"/>
    <w:rsid w:val="00AC2585"/>
    <w:rsid w:val="00B50C28"/>
    <w:rsid w:val="00B939A1"/>
    <w:rsid w:val="00C0300E"/>
    <w:rsid w:val="00C37578"/>
    <w:rsid w:val="00C64A06"/>
    <w:rsid w:val="00C74A43"/>
    <w:rsid w:val="00CF1C9F"/>
    <w:rsid w:val="00D31D50"/>
    <w:rsid w:val="00D729DB"/>
    <w:rsid w:val="00D74505"/>
    <w:rsid w:val="00DA2F3B"/>
    <w:rsid w:val="00DD02AD"/>
    <w:rsid w:val="00F31D4C"/>
    <w:rsid w:val="00F42075"/>
    <w:rsid w:val="00F6429A"/>
    <w:rsid w:val="00F932BE"/>
    <w:rsid w:val="00FD3BBA"/>
    <w:rsid w:val="00FD5BB6"/>
    <w:rsid w:val="00FF3A74"/>
    <w:rsid w:val="022C1BA0"/>
    <w:rsid w:val="04B62208"/>
    <w:rsid w:val="050D07E5"/>
    <w:rsid w:val="071B7918"/>
    <w:rsid w:val="087C038E"/>
    <w:rsid w:val="0934498C"/>
    <w:rsid w:val="0B872B28"/>
    <w:rsid w:val="0D7624A7"/>
    <w:rsid w:val="0D837248"/>
    <w:rsid w:val="0ED512C0"/>
    <w:rsid w:val="11EB0D23"/>
    <w:rsid w:val="12C728CE"/>
    <w:rsid w:val="14710CB3"/>
    <w:rsid w:val="14752B61"/>
    <w:rsid w:val="1958101E"/>
    <w:rsid w:val="1C3228AF"/>
    <w:rsid w:val="1E161DFC"/>
    <w:rsid w:val="2055156E"/>
    <w:rsid w:val="21E43CF7"/>
    <w:rsid w:val="2294176A"/>
    <w:rsid w:val="254C3C1D"/>
    <w:rsid w:val="25FD4A2E"/>
    <w:rsid w:val="267539C4"/>
    <w:rsid w:val="26E2199D"/>
    <w:rsid w:val="29421A39"/>
    <w:rsid w:val="2A9C7261"/>
    <w:rsid w:val="2C317C51"/>
    <w:rsid w:val="2C8375CC"/>
    <w:rsid w:val="2D026F30"/>
    <w:rsid w:val="2E0A02CF"/>
    <w:rsid w:val="2E293F0A"/>
    <w:rsid w:val="2F061B10"/>
    <w:rsid w:val="319F6146"/>
    <w:rsid w:val="36790566"/>
    <w:rsid w:val="36C959D3"/>
    <w:rsid w:val="3C500946"/>
    <w:rsid w:val="3C864FD1"/>
    <w:rsid w:val="40433ECD"/>
    <w:rsid w:val="40910C2D"/>
    <w:rsid w:val="4156492C"/>
    <w:rsid w:val="41A503A7"/>
    <w:rsid w:val="46C3529B"/>
    <w:rsid w:val="483D5332"/>
    <w:rsid w:val="49FB1604"/>
    <w:rsid w:val="4F853E6A"/>
    <w:rsid w:val="56680791"/>
    <w:rsid w:val="5E3758BF"/>
    <w:rsid w:val="60887590"/>
    <w:rsid w:val="64883CE2"/>
    <w:rsid w:val="65DE09E2"/>
    <w:rsid w:val="66B5194F"/>
    <w:rsid w:val="683E36B5"/>
    <w:rsid w:val="687D35BA"/>
    <w:rsid w:val="6F4C646A"/>
    <w:rsid w:val="6FE746A6"/>
    <w:rsid w:val="718669D0"/>
    <w:rsid w:val="739A1EBD"/>
    <w:rsid w:val="77216116"/>
    <w:rsid w:val="77BC07DA"/>
    <w:rsid w:val="781E07A6"/>
    <w:rsid w:val="79207910"/>
    <w:rsid w:val="797076C1"/>
    <w:rsid w:val="7BA57ACD"/>
    <w:rsid w:val="7DCE47B6"/>
    <w:rsid w:val="7E1C1846"/>
    <w:rsid w:val="7EF01B4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kern w:val="0"/>
      <w:sz w:val="22"/>
      <w:szCs w:val="22"/>
      <w:lang w:val="en-US" w:eastAsia="zh-CN" w:bidi="ar-SA"/>
    </w:rPr>
  </w:style>
  <w:style w:type="character" w:default="1" w:styleId="7">
    <w:name w:val="Default Paragraph Font"/>
    <w:semiHidden/>
    <w:qFormat/>
    <w:uiPriority w:val="99"/>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Date"/>
    <w:basedOn w:val="1"/>
    <w:next w:val="1"/>
    <w:link w:val="10"/>
    <w:qFormat/>
    <w:uiPriority w:val="99"/>
    <w:pPr>
      <w:ind w:left="100" w:leftChars="2500"/>
    </w:pPr>
  </w:style>
  <w:style w:type="paragraph" w:styleId="3">
    <w:name w:val="Balloon Text"/>
    <w:basedOn w:val="1"/>
    <w:link w:val="11"/>
    <w:qFormat/>
    <w:uiPriority w:val="99"/>
    <w:pPr>
      <w:spacing w:after="0"/>
    </w:pPr>
    <w:rPr>
      <w:sz w:val="18"/>
      <w:szCs w:val="18"/>
    </w:rPr>
  </w:style>
  <w:style w:type="paragraph" w:styleId="4">
    <w:name w:val="footer"/>
    <w:basedOn w:val="1"/>
    <w:link w:val="12"/>
    <w:qFormat/>
    <w:uiPriority w:val="99"/>
    <w:pPr>
      <w:tabs>
        <w:tab w:val="center" w:pos="4153"/>
        <w:tab w:val="right" w:pos="8306"/>
      </w:tabs>
    </w:pPr>
    <w:rPr>
      <w:sz w:val="18"/>
      <w:szCs w:val="18"/>
    </w:rPr>
  </w:style>
  <w:style w:type="paragraph" w:styleId="5">
    <w:name w:val="header"/>
    <w:basedOn w:val="1"/>
    <w:link w:val="13"/>
    <w:qFormat/>
    <w:uiPriority w:val="99"/>
    <w:pPr>
      <w:pBdr>
        <w:bottom w:val="single" w:color="auto" w:sz="6" w:space="1"/>
      </w:pBdr>
      <w:tabs>
        <w:tab w:val="center" w:pos="4153"/>
        <w:tab w:val="right" w:pos="8306"/>
      </w:tabs>
      <w:jc w:val="center"/>
    </w:pPr>
    <w:rPr>
      <w:sz w:val="18"/>
      <w:szCs w:val="18"/>
    </w:rPr>
  </w:style>
  <w:style w:type="paragraph" w:styleId="6">
    <w:name w:val="Normal (Web)"/>
    <w:basedOn w:val="1"/>
    <w:qFormat/>
    <w:uiPriority w:val="99"/>
    <w:pPr>
      <w:adjustRightInd/>
      <w:snapToGrid/>
      <w:spacing w:before="100" w:beforeAutospacing="1" w:after="100" w:afterAutospacing="1"/>
    </w:pPr>
    <w:rPr>
      <w:rFonts w:ascii="宋体" w:hAnsi="宋体" w:eastAsia="宋体" w:cs="宋体"/>
      <w:sz w:val="24"/>
      <w:szCs w:val="24"/>
    </w:rPr>
  </w:style>
  <w:style w:type="table" w:styleId="9">
    <w:name w:val="Table Grid"/>
    <w:basedOn w:val="8"/>
    <w:qFormat/>
    <w:uiPriority w:val="99"/>
    <w:rPr>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0">
    <w:name w:val="Date Char"/>
    <w:basedOn w:val="7"/>
    <w:link w:val="2"/>
    <w:semiHidden/>
    <w:qFormat/>
    <w:locked/>
    <w:uiPriority w:val="99"/>
    <w:rPr>
      <w:rFonts w:ascii="Tahoma" w:hAnsi="Tahoma" w:cs="Times New Roman"/>
    </w:rPr>
  </w:style>
  <w:style w:type="character" w:customStyle="1" w:styleId="11">
    <w:name w:val="Balloon Text Char"/>
    <w:basedOn w:val="7"/>
    <w:link w:val="3"/>
    <w:semiHidden/>
    <w:qFormat/>
    <w:locked/>
    <w:uiPriority w:val="99"/>
    <w:rPr>
      <w:rFonts w:ascii="Tahoma" w:hAnsi="Tahoma" w:cs="Times New Roman"/>
      <w:sz w:val="18"/>
      <w:szCs w:val="18"/>
    </w:rPr>
  </w:style>
  <w:style w:type="character" w:customStyle="1" w:styleId="12">
    <w:name w:val="Footer Char"/>
    <w:basedOn w:val="7"/>
    <w:link w:val="4"/>
    <w:qFormat/>
    <w:locked/>
    <w:uiPriority w:val="99"/>
    <w:rPr>
      <w:rFonts w:ascii="Tahoma" w:hAnsi="Tahoma" w:cs="Times New Roman"/>
      <w:sz w:val="18"/>
      <w:szCs w:val="18"/>
    </w:rPr>
  </w:style>
  <w:style w:type="character" w:customStyle="1" w:styleId="13">
    <w:name w:val="Header Char"/>
    <w:basedOn w:val="7"/>
    <w:link w:val="5"/>
    <w:qFormat/>
    <w:locked/>
    <w:uiPriority w:val="99"/>
    <w:rPr>
      <w:rFonts w:ascii="Tahoma" w:hAnsi="Tahoma" w:cs="Times New Roman"/>
      <w:sz w:val="18"/>
      <w:szCs w:val="18"/>
    </w:rPr>
  </w:style>
  <w:style w:type="paragraph" w:styleId="1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2</Pages>
  <Words>210</Words>
  <Characters>1202</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2018-03-02T08:20:00Z</dcterms:created>
  <dc:creator>win7</dc:creator>
  <cp:lastModifiedBy>Administrator</cp:lastModifiedBy>
  <cp:lastPrinted>2018-03-16T11:49:00Z</cp:lastPrinted>
  <dcterms:modified xsi:type="dcterms:W3CDTF">2018-03-29T08:50:29Z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