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新津县市场和质量监督管理局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新津县五津镇五津西路药店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新津县五津镇五津西路</w:t>
      </w:r>
      <w:r>
        <w:rPr>
          <w:rFonts w:hint="eastAsia" w:ascii="宋体" w:hAnsi="宋体" w:eastAsia="宋体" w:cs="宋体"/>
          <w:sz w:val="24"/>
          <w:szCs w:val="24"/>
          <w:highlight w:val="none"/>
          <w:lang w:val="en-US" w:eastAsia="zh-CN"/>
        </w:rPr>
        <w:t>234,236,238</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CB0284561（13）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91510132556424335C</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val="en-US" w:eastAsia="zh-CN"/>
        </w:rPr>
        <w:t>:生化药品，中药材，中药饮片，生物制品（不含预防性生物制品）中成药，化学药制剂，抗生素制剂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20191204，经营方式为零售，经营范围：生化药品、中药材、中药饮片、生物制品（不含预防性生物制品）、中成药、化学药制剂、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20个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180升/100升专用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冷藏柜二台，冷藏柜与门店经营的品种及经营规模相适应。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6</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四川太极大药房连锁有限公司新津县五津镇五津西路</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药店店长签名：王燕丽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bookmarkStart w:id="0" w:name="_GoBack"/>
      <w:bookmarkEnd w:id="0"/>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3E56A31"/>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2DF353A"/>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6BB001D"/>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285EF9"/>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443432E"/>
    <w:rsid w:val="76237B5B"/>
    <w:rsid w:val="767A1912"/>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王艳丽</cp:lastModifiedBy>
  <dcterms:modified xsi:type="dcterms:W3CDTF">2018-03-23T03:22:27Z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