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after="0" w:line="520" w:lineRule="exac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一、 “模范店员”评选要求</w:t>
      </w:r>
    </w:p>
    <w:p>
      <w:pPr>
        <w:snapToGrid/>
        <w:spacing w:after="0" w:line="52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1、评选范围：集团直营药店工作1年以上的店员或店长。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2、评选条件：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（1）对企业忠诚、责任心强，遵守公司规章制度，积极传递正能量。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（2）所在药店销售、利润增长较快，对药店提升经营质量贡献较大。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（3）专业能力强，具有较强的关联销售推荐能力和店面布置陈列技巧。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（4）工作积极努力、执行力强，严格履行“十不准”规定，主动提高“认药技能”。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（5）服务态度好，全年无违规违纪行为、无安全和质量责任事故。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二、“营销标兵”评选要求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业务能力强、勤奋努力，业绩突出，圆满完成年度销售任务，并能够有效控制货款风险，回款率达到100%（医院回款率95%以上），无6个月以上账龄外部应收货款。全年无违规违纪行为。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二、报送时间及要求：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（1）在2018年1月26日前将推荐表电子版经第一负责人审核的签字版报送至商业管理部，邮箱：taijiglb@126.com，电话：89885242，传真：88393019，联系人：范燕妮。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（2）经公示后确定后的“营销标兵”或“模范店员”，须在2月5日前，向商业管理部报送经验交流材料（2000字左右，word版本A4纸打印一份，经单位第一负责人审核签字，另附PPT版本）以及个人生活照（电子版）。</w:t>
      </w:r>
    </w:p>
    <w:p>
      <w:pPr>
        <w:pStyle w:val="8"/>
        <w:snapToGrid/>
        <w:spacing w:after="0" w:line="520" w:lineRule="exact"/>
        <w:ind w:firstLine="560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附件1：商业零售门店“模范店员”推荐表</w:t>
      </w:r>
    </w:p>
    <w:p>
      <w:pPr>
        <w:pStyle w:val="8"/>
        <w:snapToGrid/>
        <w:spacing w:after="0" w:line="52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附件2：商业系统“营销标兵”推荐表</w:t>
      </w:r>
    </w:p>
    <w:p>
      <w:pPr>
        <w:pStyle w:val="8"/>
        <w:snapToGrid/>
        <w:spacing w:after="0" w:line="52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</w:t>
      </w:r>
    </w:p>
    <w:p>
      <w:pPr>
        <w:snapToGrid/>
        <w:spacing w:after="0" w:line="560" w:lineRule="exact"/>
        <w:rPr>
          <w:rFonts w:ascii="方正小标宋_GBK" w:eastAsia="方正小标宋_GBK" w:hAnsiTheme="minorEastAsia" w:cstheme="minorEastAsia"/>
          <w:sz w:val="36"/>
          <w:szCs w:val="32"/>
        </w:rPr>
      </w:pPr>
      <w:r>
        <w:rPr>
          <w:rFonts w:hint="eastAsia" w:ascii="方正小标宋_GBK" w:eastAsia="方正小标宋_GBK" w:hAnsiTheme="minorEastAsia" w:cstheme="minorEastAsia"/>
          <w:sz w:val="36"/>
          <w:szCs w:val="32"/>
        </w:rPr>
        <w:t>附件1：</w:t>
      </w:r>
    </w:p>
    <w:p>
      <w:pPr>
        <w:snapToGrid/>
        <w:spacing w:after="0"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商业零售门店“模范店员”推荐表</w:t>
      </w:r>
    </w:p>
    <w:p>
      <w:pPr>
        <w:snapToGrid/>
        <w:spacing w:after="0"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推荐单位：</w:t>
      </w:r>
    </w:p>
    <w:tbl>
      <w:tblPr>
        <w:tblStyle w:val="7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992"/>
        <w:gridCol w:w="1276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  <w:t>夏彩红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所在门店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  <w:t>温江店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  <w:t>店长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13980528826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个人</w:t>
            </w:r>
          </w:p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主要事迹（300-</w:t>
            </w:r>
          </w:p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500字）</w:t>
            </w:r>
          </w:p>
        </w:tc>
        <w:tc>
          <w:tcPr>
            <w:tcW w:w="7229" w:type="dxa"/>
            <w:gridSpan w:val="5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 xml:space="preserve">   2015年7月15日加入公司，倍感公司大家庭的温暖，2015年在温江店做营业员一职，积极努力在岗位上尽心尽责，不断学习，团结同事，互助互帮，经过1年的学习，熟悉门店日常事务及系统操作，提升为温江店店长一职，感谢公司给我提供升职空间。 2016年12月6日任职温江店店长一职，从起初2个的人门店组建成4人门店，同时在那段时间人员并不稳定的情况下，并且还有人员流失的现象，我们主动积极走出店外做宣传，免费为社区居民检测血压血糖，坚持不断的做宣传，为门店积累一定人气，从而提升门店来客数，销售稳定增长。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  <w:lang w:val="en-US" w:eastAsia="zh-CN"/>
              </w:rPr>
              <w:t>2017年销售230万，笔数21797笔，毛利73.5万同比2016年销售增长64%，笔数增长22.5%,毛利增长71.5%，2017年我们完美收关，在接下来2018年我将继续努力，带领团队为公司创造更多利润。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所在单位意见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52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集团分管领导意见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</w:tbl>
    <w:p>
      <w:pPr>
        <w:snapToGrid/>
        <w:spacing w:after="0" w:line="560" w:lineRule="exact"/>
        <w:rPr>
          <w:rFonts w:hint="eastAsia" w:ascii="方正小标宋_GBK" w:eastAsia="方正小标宋_GBK" w:hAnsiTheme="minorEastAsia" w:cstheme="minorEastAsia"/>
          <w:sz w:val="32"/>
          <w:szCs w:val="32"/>
        </w:rPr>
      </w:pPr>
    </w:p>
    <w:p>
      <w:pPr>
        <w:snapToGrid/>
        <w:spacing w:after="0" w:line="560" w:lineRule="exact"/>
        <w:rPr>
          <w:rFonts w:hint="eastAsia" w:ascii="方正小标宋_GBK" w:eastAsia="方正小标宋_GBK" w:hAnsiTheme="minorEastAsia" w:cstheme="minorEastAsia"/>
          <w:sz w:val="32"/>
          <w:szCs w:val="32"/>
        </w:rPr>
      </w:pPr>
    </w:p>
    <w:p>
      <w:pPr>
        <w:snapToGrid/>
        <w:spacing w:after="0" w:line="560" w:lineRule="exact"/>
        <w:rPr>
          <w:rFonts w:hint="eastAsia" w:ascii="方正小标宋_GBK" w:eastAsia="方正小标宋_GBK" w:hAnsiTheme="minorEastAsia" w:cstheme="minorEastAsia"/>
          <w:sz w:val="32"/>
          <w:szCs w:val="32"/>
        </w:rPr>
      </w:pPr>
    </w:p>
    <w:p>
      <w:pPr>
        <w:snapToGrid/>
        <w:spacing w:after="0" w:line="560" w:lineRule="exact"/>
        <w:rPr>
          <w:rFonts w:hint="eastAsia" w:ascii="方正小标宋_GBK" w:eastAsia="方正小标宋_GBK" w:hAnsiTheme="minorEastAsia" w:cstheme="minorEastAsia"/>
          <w:sz w:val="32"/>
          <w:szCs w:val="32"/>
        </w:rPr>
      </w:pPr>
    </w:p>
    <w:p>
      <w:pPr>
        <w:snapToGrid/>
        <w:spacing w:after="0" w:line="560" w:lineRule="exact"/>
        <w:rPr>
          <w:rFonts w:ascii="方正小标宋_GBK" w:eastAsia="方正小标宋_GBK" w:hAnsiTheme="minorEastAsia" w:cstheme="minorEastAsia"/>
          <w:sz w:val="32"/>
          <w:szCs w:val="32"/>
        </w:rPr>
      </w:pPr>
      <w:r>
        <w:rPr>
          <w:rFonts w:hint="eastAsia" w:ascii="方正小标宋_GBK" w:eastAsia="方正小标宋_GBK" w:hAnsiTheme="minorEastAsia" w:cstheme="minorEastAsia"/>
          <w:sz w:val="32"/>
          <w:szCs w:val="32"/>
        </w:rPr>
        <w:t>附件2：</w:t>
      </w:r>
    </w:p>
    <w:p>
      <w:pPr>
        <w:snapToGrid/>
        <w:spacing w:after="0"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商业系统“营销标兵”推荐表</w:t>
      </w:r>
    </w:p>
    <w:p>
      <w:pPr>
        <w:snapToGrid/>
        <w:spacing w:after="0"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推荐单位：</w:t>
      </w:r>
    </w:p>
    <w:tbl>
      <w:tblPr>
        <w:tblStyle w:val="7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60"/>
        <w:gridCol w:w="1134"/>
        <w:gridCol w:w="1275"/>
        <w:gridCol w:w="184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7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所在部门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7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436" w:type="dxa"/>
            <w:gridSpan w:val="2"/>
            <w:vAlign w:val="center"/>
          </w:tcPr>
          <w:p>
            <w:pPr>
              <w:widowControl w:val="0"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2016年销售额（万元）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widowControl w:val="0"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2017年销售额（万元）</w:t>
            </w:r>
          </w:p>
        </w:tc>
        <w:tc>
          <w:tcPr>
            <w:tcW w:w="1393" w:type="dxa"/>
            <w:vAlign w:val="center"/>
          </w:tcPr>
          <w:p>
            <w:pPr>
              <w:widowControl w:val="0"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87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个人主要</w:t>
            </w:r>
          </w:p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事迹（300-500字）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widowControl/>
              <w:snapToGrid/>
              <w:spacing w:after="0" w:line="560" w:lineRule="exact"/>
              <w:jc w:val="left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87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所在单位</w:t>
            </w:r>
          </w:p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876" w:type="dxa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集团分管</w:t>
            </w:r>
          </w:p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领导意见</w:t>
            </w:r>
          </w:p>
        </w:tc>
        <w:tc>
          <w:tcPr>
            <w:tcW w:w="7205" w:type="dxa"/>
            <w:gridSpan w:val="5"/>
            <w:vAlign w:val="center"/>
          </w:tcPr>
          <w:p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</w:tbl>
    <w:p>
      <w:pPr>
        <w:snapToGrid/>
        <w:spacing w:after="0" w:line="56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footerReference r:id="rId3" w:type="default"/>
      <w:pgSz w:w="11906" w:h="16838"/>
      <w:pgMar w:top="1134" w:right="1588" w:bottom="1134" w:left="1588" w:header="709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93844"/>
      <w:docPartObj>
        <w:docPartGallery w:val="AutoText"/>
      </w:docPartObj>
    </w:sdtPr>
    <w:sdtContent>
      <w:p>
        <w:pPr>
          <w:pStyle w:val="3"/>
          <w:ind w:firstLine="4590" w:firstLineChars="255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70B9"/>
    <w:rsid w:val="000E65E2"/>
    <w:rsid w:val="00104A42"/>
    <w:rsid w:val="001B2457"/>
    <w:rsid w:val="002A0FF3"/>
    <w:rsid w:val="002B0144"/>
    <w:rsid w:val="002D217B"/>
    <w:rsid w:val="00323B43"/>
    <w:rsid w:val="003560CF"/>
    <w:rsid w:val="003D37D8"/>
    <w:rsid w:val="00426133"/>
    <w:rsid w:val="004358AB"/>
    <w:rsid w:val="004E2CA4"/>
    <w:rsid w:val="00543B9C"/>
    <w:rsid w:val="005A220C"/>
    <w:rsid w:val="005F3B54"/>
    <w:rsid w:val="006619CA"/>
    <w:rsid w:val="006B109C"/>
    <w:rsid w:val="006E5C4F"/>
    <w:rsid w:val="007202A1"/>
    <w:rsid w:val="00723CBC"/>
    <w:rsid w:val="007D7E5E"/>
    <w:rsid w:val="007F74B7"/>
    <w:rsid w:val="00891929"/>
    <w:rsid w:val="008B7726"/>
    <w:rsid w:val="0093157D"/>
    <w:rsid w:val="009378E9"/>
    <w:rsid w:val="00965FE6"/>
    <w:rsid w:val="00AF573C"/>
    <w:rsid w:val="00B74242"/>
    <w:rsid w:val="00BB3CE9"/>
    <w:rsid w:val="00BC7B7E"/>
    <w:rsid w:val="00C1736B"/>
    <w:rsid w:val="00C538FA"/>
    <w:rsid w:val="00CD0A36"/>
    <w:rsid w:val="00D31D50"/>
    <w:rsid w:val="00D53382"/>
    <w:rsid w:val="00E14B08"/>
    <w:rsid w:val="00E45AEF"/>
    <w:rsid w:val="0219460E"/>
    <w:rsid w:val="04B4579D"/>
    <w:rsid w:val="06C918BB"/>
    <w:rsid w:val="0A32607C"/>
    <w:rsid w:val="0B416152"/>
    <w:rsid w:val="14C2114E"/>
    <w:rsid w:val="1B745C29"/>
    <w:rsid w:val="1C902C71"/>
    <w:rsid w:val="1F98099A"/>
    <w:rsid w:val="21356A23"/>
    <w:rsid w:val="22DB1BC5"/>
    <w:rsid w:val="24042F77"/>
    <w:rsid w:val="281A0BDE"/>
    <w:rsid w:val="2A6A04A1"/>
    <w:rsid w:val="2D397A0C"/>
    <w:rsid w:val="314568FE"/>
    <w:rsid w:val="327D6B7C"/>
    <w:rsid w:val="378A512A"/>
    <w:rsid w:val="3791737B"/>
    <w:rsid w:val="3D1F1CB2"/>
    <w:rsid w:val="408E6536"/>
    <w:rsid w:val="42705EBA"/>
    <w:rsid w:val="43B97606"/>
    <w:rsid w:val="46A11636"/>
    <w:rsid w:val="485D72E4"/>
    <w:rsid w:val="52950940"/>
    <w:rsid w:val="53306076"/>
    <w:rsid w:val="5334163F"/>
    <w:rsid w:val="57A57B4D"/>
    <w:rsid w:val="59196D29"/>
    <w:rsid w:val="5C8656B3"/>
    <w:rsid w:val="5CB07388"/>
    <w:rsid w:val="5FCC5869"/>
    <w:rsid w:val="600146F5"/>
    <w:rsid w:val="60226886"/>
    <w:rsid w:val="620B5A0F"/>
    <w:rsid w:val="64B71137"/>
    <w:rsid w:val="66CE014C"/>
    <w:rsid w:val="68911506"/>
    <w:rsid w:val="68FA078D"/>
    <w:rsid w:val="6ADA5E7C"/>
    <w:rsid w:val="6EE820D2"/>
    <w:rsid w:val="70050C3A"/>
    <w:rsid w:val="702E37FB"/>
    <w:rsid w:val="730B0A79"/>
    <w:rsid w:val="780166AF"/>
    <w:rsid w:val="784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2018-01-25T02:33:00Z</dcterms:created>
  <dc:creator>Administrator</dc:creator>
  <cp:lastModifiedBy>Administrator</cp:lastModifiedBy>
  <cp:lastPrinted>2018-01-25T02:09:00Z</cp:lastPrinted>
  <dcterms:modified xsi:type="dcterms:W3CDTF">2018-01-26T06:16:58Z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