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 w:cs="宋体"/>
          <w:b/>
          <w:bCs/>
          <w:color w:val="000000"/>
          <w:sz w:val="44"/>
          <w:szCs w:val="44"/>
        </w:rPr>
        <w:t>四川太极大药房连锁有限公司</w: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操作规程标准</w:t>
      </w:r>
    </w:p>
    <w:p>
      <w:pPr>
        <w:ind w:left="420"/>
        <w:jc w:val="left"/>
        <w:rPr>
          <w:b/>
          <w:bCs/>
          <w:color w:val="00000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4.5pt;margin-top:7.8pt;height:0pt;width:441pt;z-index:251659264;mso-width-relative:page;mso-height-relative:page;" filled="f" stroked="t" coordsize="21600,21600" o:gfxdata="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Tkl2fUAAAABwEAAA8AAAAAAAAAAQAgAAAAIgAAAGRycy9kb3ducmV2Lnht&#10;bFBLAQIUABQAAAAIAIdO4kBp7G4TxAEAAIEDAAAOAAAAAAAAAAEAIAAAACM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商品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铺货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操作规程</w:t>
      </w:r>
    </w:p>
    <w:tbl>
      <w:tblPr>
        <w:tblStyle w:val="6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1440"/>
        <w:gridCol w:w="140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版本编号：</w:t>
            </w:r>
            <w:r>
              <w:rPr>
                <w:color w:val="000000"/>
              </w:rPr>
              <w:t>SCTJ—QP—002—2015—</w:t>
            </w:r>
            <w:r>
              <w:rPr>
                <w:rFonts w:hint="eastAsia" w:cs="宋体"/>
                <w:color w:val="000000"/>
              </w:rPr>
              <w:t>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序页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总页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起草部门：采购部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起草人：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何玉英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质量管理部初审：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质量负责人审核：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董事长批准：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执行日期：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变更原因：</w:t>
            </w:r>
            <w:r>
              <w:rPr>
                <w:rFonts w:hint="eastAsia" w:ascii="宋体" w:hAnsi="宋体" w:cs="宋体"/>
                <w:color w:val="000000"/>
              </w:rPr>
              <w:t>根据“新版</w:t>
            </w:r>
            <w:r>
              <w:rPr>
                <w:rFonts w:ascii="宋体" w:hAnsi="宋体" w:cs="宋体"/>
                <w:color w:val="000000"/>
              </w:rPr>
              <w:t>GSP</w:t>
            </w:r>
            <w:r>
              <w:rPr>
                <w:rFonts w:hint="eastAsia" w:ascii="宋体" w:hAnsi="宋体" w:cs="宋体"/>
                <w:color w:val="000000"/>
              </w:rPr>
              <w:t>”管理规范要求</w:t>
            </w:r>
          </w:p>
        </w:tc>
      </w:tr>
    </w:tbl>
    <w:p>
      <w:pPr>
        <w:spacing w:line="360" w:lineRule="auto"/>
        <w:ind w:firstLine="554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一、目的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为了让门店更好地动销公司商品，现对我司的铺货制度进行规范 。</w:t>
      </w:r>
    </w:p>
    <w:p>
      <w:pPr>
        <w:pStyle w:val="7"/>
        <w:spacing w:line="510" w:lineRule="exact"/>
        <w:ind w:left="0" w:leftChars="0" w:firstLine="562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二、范围</w:t>
      </w:r>
      <w:r>
        <w:rPr>
          <w:rFonts w:hint="eastAsia" w:ascii="宋体" w:hAnsi="宋体" w:cs="宋体"/>
          <w:color w:val="000000"/>
          <w:sz w:val="28"/>
          <w:szCs w:val="28"/>
        </w:rPr>
        <w:t>：适用于本公司商品的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退货</w:t>
      </w:r>
      <w:r>
        <w:rPr>
          <w:rFonts w:hint="eastAsia" w:ascii="宋体" w:hAnsi="宋体" w:cs="宋体"/>
          <w:color w:val="000000"/>
          <w:sz w:val="28"/>
          <w:szCs w:val="28"/>
        </w:rPr>
        <w:t>的全过程。</w:t>
      </w:r>
    </w:p>
    <w:p>
      <w:pPr>
        <w:pStyle w:val="7"/>
        <w:spacing w:line="510" w:lineRule="exact"/>
        <w:ind w:firstLine="562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三、责任：</w:t>
      </w:r>
      <w:r>
        <w:rPr>
          <w:rFonts w:hint="eastAsia" w:ascii="宋体" w:hAnsi="宋体" w:cs="宋体"/>
          <w:color w:val="000000"/>
          <w:sz w:val="28"/>
          <w:szCs w:val="28"/>
        </w:rPr>
        <w:t>采购员及业务部负责人对此程序的实施负责</w:t>
      </w:r>
    </w:p>
    <w:p>
      <w:pPr>
        <w:pStyle w:val="7"/>
        <w:numPr>
          <w:ilvl w:val="0"/>
          <w:numId w:val="1"/>
        </w:numPr>
        <w:spacing w:line="510" w:lineRule="exact"/>
        <w:ind w:firstLineChars="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具体内容：</w:t>
      </w:r>
    </w:p>
    <w:p>
      <w:pPr>
        <w:numPr>
          <w:ilvl w:val="0"/>
          <w:numId w:val="0"/>
        </w:numPr>
        <w:spacing w:line="360" w:lineRule="auto"/>
        <w:ind w:firstLine="554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A</w:t>
      </w:r>
      <w:r>
        <w:rPr>
          <w:rFonts w:hint="eastAsia" w:ascii="新宋体" w:hAnsi="新宋体" w:eastAsia="新宋体" w:cs="新宋体"/>
          <w:b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b/>
          <w:sz w:val="28"/>
          <w:szCs w:val="28"/>
        </w:rPr>
        <w:t>铺货原则：</w:t>
      </w:r>
      <w:r>
        <w:rPr>
          <w:rFonts w:hint="eastAsia" w:ascii="新宋体" w:hAnsi="新宋体" w:eastAsia="新宋体" w:cs="新宋体"/>
          <w:sz w:val="28"/>
          <w:szCs w:val="28"/>
        </w:rPr>
        <w:t>根据产品自身特点及门店经营状况来确定是否需要铺货。其中：</w:t>
      </w:r>
    </w:p>
    <w:p>
      <w:pPr>
        <w:spacing w:line="360" w:lineRule="auto"/>
        <w:ind w:left="472" w:leftChars="200" w:firstLine="0" w:firstLineChars="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1）高价格商品与新特药最多只能向AB类门店铺货，不得向C类门店铺货；</w:t>
      </w:r>
    </w:p>
    <w:p>
      <w:pPr>
        <w:spacing w:line="360" w:lineRule="auto"/>
        <w:ind w:firstLine="552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2）对促销专柜品种可按其所上促销专柜门店明细确定；</w:t>
      </w:r>
    </w:p>
    <w:p>
      <w:pPr>
        <w:spacing w:line="360" w:lineRule="auto"/>
        <w:ind w:firstLine="552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3）指定门店销售商品只能向指定门店铺货。</w:t>
      </w:r>
    </w:p>
    <w:p>
      <w:pPr>
        <w:spacing w:line="360" w:lineRule="auto"/>
        <w:ind w:firstLine="277" w:firstLineChars="100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铺货品种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审核：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 xml:space="preserve">    1、</w:t>
      </w:r>
      <w:r>
        <w:rPr>
          <w:rFonts w:hint="eastAsia" w:ascii="新宋体" w:hAnsi="新宋体" w:eastAsia="新宋体" w:cs="新宋体"/>
          <w:b/>
          <w:sz w:val="28"/>
          <w:szCs w:val="28"/>
        </w:rPr>
        <w:t>新品铺货：</w:t>
      </w:r>
      <w:r>
        <w:rPr>
          <w:rFonts w:hint="eastAsia" w:ascii="新宋体" w:hAnsi="新宋体" w:eastAsia="新宋体" w:cs="新宋体"/>
          <w:sz w:val="28"/>
          <w:szCs w:val="28"/>
        </w:rPr>
        <w:t>新品引进依照《四川太极大药房连锁有限公司新品引进管理制度》执行。为利于门店销售和品种推广，引进后的新品统一由业务部铺货到门店。铺货前需得到合作方及供货商处理退换货的协议约定或书面保证，铺货数量可根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T</w:t>
      </w:r>
      <w:r>
        <w:rPr>
          <w:rFonts w:hint="eastAsia" w:ascii="新宋体" w:hAnsi="新宋体" w:eastAsia="新宋体" w:cs="新宋体"/>
          <w:sz w:val="28"/>
          <w:szCs w:val="28"/>
        </w:rPr>
        <w:t>ABC类门店来确定，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T类（</w:t>
      </w:r>
      <w:r>
        <w:rPr>
          <w:rFonts w:hint="eastAsia" w:ascii="新宋体" w:hAnsi="新宋体" w:eastAsia="新宋体" w:cs="新宋体"/>
          <w:sz w:val="28"/>
          <w:szCs w:val="28"/>
        </w:rPr>
        <w:t>不超过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28"/>
          <w:szCs w:val="28"/>
        </w:rPr>
        <w:t>个最小零售包装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）、</w:t>
      </w:r>
      <w:r>
        <w:rPr>
          <w:rFonts w:hint="eastAsia" w:ascii="新宋体" w:hAnsi="新宋体" w:eastAsia="新宋体" w:cs="新宋体"/>
          <w:sz w:val="28"/>
          <w:szCs w:val="28"/>
        </w:rPr>
        <w:t>A类（不超过5个最小零售包装）、B类（不超过3个最小零售包装）、C类（不超过2个最小零售包装），所有门店首次铺货金额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原则上</w:t>
      </w:r>
      <w:r>
        <w:rPr>
          <w:rFonts w:hint="eastAsia" w:ascii="新宋体" w:hAnsi="新宋体" w:eastAsia="新宋体" w:cs="新宋体"/>
          <w:sz w:val="28"/>
          <w:szCs w:val="28"/>
        </w:rPr>
        <w:t>不得超过上柜费。</w:t>
      </w:r>
    </w:p>
    <w:p>
      <w:pPr>
        <w:numPr>
          <w:ilvl w:val="0"/>
          <w:numId w:val="0"/>
        </w:numPr>
        <w:spacing w:line="360" w:lineRule="auto"/>
        <w:ind w:left="472" w:leftChars="200" w:firstLine="0" w:firstLineChars="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2、</w:t>
      </w:r>
      <w:r>
        <w:rPr>
          <w:rFonts w:hint="eastAsia" w:ascii="新宋体" w:hAnsi="新宋体" w:eastAsia="新宋体" w:cs="新宋体"/>
          <w:b/>
          <w:sz w:val="28"/>
          <w:szCs w:val="28"/>
        </w:rPr>
        <w:t>非新品铺货：</w:t>
      </w:r>
      <w:r>
        <w:rPr>
          <w:rFonts w:hint="eastAsia" w:ascii="新宋体" w:hAnsi="新宋体" w:eastAsia="新宋体" w:cs="新宋体"/>
          <w:sz w:val="28"/>
          <w:szCs w:val="28"/>
        </w:rPr>
        <w:t>涨价品种、季节性品种、应急品种的铺货，业务员对涨价信息的准确性、真实性负责，销售部门对季节性、应急品种的数量准确性负责。铺货时可根据我司该商品去年同期或最近3个月的销售流向来确定铺货门店和数量。</w:t>
      </w:r>
    </w:p>
    <w:p>
      <w:pPr>
        <w:numPr>
          <w:ilvl w:val="0"/>
          <w:numId w:val="0"/>
        </w:numPr>
        <w:spacing w:line="360" w:lineRule="auto"/>
        <w:ind w:left="562" w:leftChars="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3、</w:t>
      </w:r>
      <w:r>
        <w:rPr>
          <w:rFonts w:hint="eastAsia" w:ascii="新宋体" w:hAnsi="新宋体" w:eastAsia="新宋体" w:cs="新宋体"/>
          <w:b/>
          <w:sz w:val="28"/>
          <w:szCs w:val="28"/>
        </w:rPr>
        <w:t>门店周期缺货：</w:t>
      </w:r>
    </w:p>
    <w:p>
      <w:pPr>
        <w:spacing w:line="360" w:lineRule="auto"/>
        <w:ind w:firstLine="552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根据营运部发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</w:rPr>
        <w:t>〔201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</w:rPr>
        <w:t>〕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056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</w:rPr>
        <w:t>号</w:t>
      </w:r>
      <w:r>
        <w:rPr>
          <w:rFonts w:hint="eastAsia" w:ascii="新宋体" w:hAnsi="新宋体" w:eastAsia="新宋体" w:cs="新宋体"/>
          <w:sz w:val="28"/>
          <w:szCs w:val="28"/>
        </w:rPr>
        <w:t>文件，取消门店手工请货，如门店有缺货现象，应整理后报营运部审核，再交业务部进行铺货。</w:t>
      </w:r>
    </w:p>
    <w:p>
      <w:pPr>
        <w:numPr>
          <w:ilvl w:val="0"/>
          <w:numId w:val="0"/>
        </w:numPr>
        <w:spacing w:line="360" w:lineRule="auto"/>
        <w:ind w:left="562" w:leftChars="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4、</w:t>
      </w:r>
      <w:r>
        <w:rPr>
          <w:rFonts w:hint="eastAsia" w:ascii="新宋体" w:hAnsi="新宋体" w:eastAsia="新宋体" w:cs="新宋体"/>
          <w:b/>
          <w:sz w:val="28"/>
          <w:szCs w:val="28"/>
        </w:rPr>
        <w:t>门店急需品种铺货</w:t>
      </w:r>
    </w:p>
    <w:p>
      <w:pPr>
        <w:spacing w:line="360" w:lineRule="auto"/>
        <w:ind w:firstLine="552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如门店有特殊情况需要超计划铺货（例：门店团购计划、顾客紧急订购等），应报片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营运部审核，</w:t>
      </w:r>
      <w:r>
        <w:rPr>
          <w:rFonts w:hint="eastAsia" w:ascii="新宋体" w:hAnsi="新宋体" w:eastAsia="新宋体" w:cs="新宋体"/>
          <w:sz w:val="28"/>
          <w:szCs w:val="28"/>
        </w:rPr>
        <w:t>再交业务部进行铺货。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 xml:space="preserve">    5、贵细品种铺货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门店每月3-5日、18-20日将贵细品种手工要货计划采购部邮箱，采购部内勤根据在库门店三个月销售情况先进行店间调剂，再交相关采购员采购后进行铺货。</w:t>
      </w:r>
    </w:p>
    <w:p>
      <w:pPr>
        <w:numPr>
          <w:ilvl w:val="0"/>
          <w:numId w:val="2"/>
        </w:numPr>
        <w:spacing w:line="360" w:lineRule="auto"/>
        <w:ind w:firstLine="560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小包装配方饮片和免煎颗粒剂品种铺货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门店每周三将手工要货计划报采购部邮箱，采购员采购后进行铺货。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 xml:space="preserve">    7、新开门店和重装升级门店的品种铺货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新开门店和重装升级门店的品种铺货由商品部整理审核后，</w:t>
      </w:r>
      <w:r>
        <w:rPr>
          <w:rFonts w:hint="eastAsia" w:ascii="新宋体" w:hAnsi="新宋体" w:eastAsia="新宋体" w:cs="新宋体"/>
          <w:sz w:val="28"/>
          <w:szCs w:val="28"/>
        </w:rPr>
        <w:t>再交业务部进行铺货。</w:t>
      </w:r>
    </w:p>
    <w:p>
      <w:pPr>
        <w:numPr>
          <w:ilvl w:val="0"/>
          <w:numId w:val="0"/>
        </w:numPr>
        <w:spacing w:line="360" w:lineRule="auto"/>
        <w:ind w:firstLine="277" w:firstLineChars="1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C、铺货时间：</w:t>
      </w:r>
    </w:p>
    <w:p>
      <w:pPr>
        <w:numPr>
          <w:ilvl w:val="0"/>
          <w:numId w:val="3"/>
        </w:numPr>
        <w:spacing w:line="360" w:lineRule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营运部审核后的门店顾客预订急需品种每天13：30分前完成铺货，生成请货单，便于采购内勤配货。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2、营运部每周三将审核后的门店周缺货登记品种发送采购部，采购部每周四铺货完成生成请货单。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3、采购部新引进品种和季节性品种入库上架后2个工作日铺货生成请货单。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4、贵细品种铺货、小包装配方饮片和免煎颗粒剂品种在上架后1个工作日铺货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生成请货单。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5、商品部整理的新开门店和重装升级门店的品种在开业前5个工作日铺货生成请货单。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D、铺货注意事项：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1、每张铺货表单店总细目不能超过100条。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2、贵细品种（冬虫夏草、燕窝）单独铺货，并且电话告知采购内勤，保证货品安全。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3、冷链品种、中药品种（大类id2）和成药需单独铺货。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E、铺货具体流程图：</w:t>
      </w:r>
    </w:p>
    <w:p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-2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-2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95060" cy="3335020"/>
            <wp:effectExtent l="0" t="0" r="15240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eastAsiaTheme="minorEastAsia"/>
          <w:spacing w:val="0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C6F"/>
    <w:multiLevelType w:val="multilevel"/>
    <w:tmpl w:val="021E5C6F"/>
    <w:lvl w:ilvl="0" w:tentative="0">
      <w:start w:val="4"/>
      <w:numFmt w:val="japaneseCounting"/>
      <w:lvlText w:val="%1、"/>
      <w:lvlJc w:val="left"/>
      <w:pPr>
        <w:ind w:left="1280" w:hanging="720"/>
      </w:pPr>
      <w:rPr>
        <w:rFonts w:hint="default" w:hAnsi="宋体" w:cs="宋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BEB0ED"/>
    <w:multiLevelType w:val="singleLevel"/>
    <w:tmpl w:val="58BEB0ED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58C2934E"/>
    <w:multiLevelType w:val="singleLevel"/>
    <w:tmpl w:val="58C2934E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1F46"/>
    <w:rsid w:val="000428CD"/>
    <w:rsid w:val="0041195C"/>
    <w:rsid w:val="00475E72"/>
    <w:rsid w:val="00601578"/>
    <w:rsid w:val="00675F7B"/>
    <w:rsid w:val="00795F14"/>
    <w:rsid w:val="008112E4"/>
    <w:rsid w:val="009B3101"/>
    <w:rsid w:val="00A725C2"/>
    <w:rsid w:val="00F3677A"/>
    <w:rsid w:val="04C81F46"/>
    <w:rsid w:val="0E86630B"/>
    <w:rsid w:val="6B8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2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pacing w:val="0"/>
      <w:sz w:val="21"/>
      <w:szCs w:val="22"/>
    </w:rPr>
  </w:style>
  <w:style w:type="character" w:customStyle="1" w:styleId="8">
    <w:name w:val="页眉 Char"/>
    <w:basedOn w:val="5"/>
    <w:link w:val="4"/>
    <w:uiPriority w:val="0"/>
    <w:rPr>
      <w:spacing w:val="-2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spacing w:val="-2"/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spacing w:val="-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69</Characters>
  <Lines>1</Lines>
  <Paragraphs>1</Paragraphs>
  <ScaleCrop>false</ScaleCrop>
  <LinksUpToDate>false</LinksUpToDate>
  <CharactersWithSpaces>645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2017-09-08T09:43:00Z</dcterms:created>
  <dc:creator>Administrator</dc:creator>
  <cp:lastModifiedBy>Administrator</cp:lastModifiedBy>
  <dcterms:modified xsi:type="dcterms:W3CDTF">2017-09-30T08:04:56Z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