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明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高新区市场和质量监督管理局：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四川太极大药房连锁有限公司高新区朝阳路药店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属于</w:t>
      </w:r>
      <w:r>
        <w:rPr>
          <w:rFonts w:hint="eastAsia" w:ascii="宋体" w:hAnsi="宋体" w:eastAsia="宋体" w:cs="宋体"/>
          <w:sz w:val="28"/>
          <w:szCs w:val="28"/>
        </w:rPr>
        <w:t>四川太极大药房连锁有限公司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直营药房，《药品经营许可证》在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2015年12月27日到期时候，因为房租到期，无合适经营位置，故未提交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《药品经营许可证》换证、认证工作。公司门店无有效的《药品经营许可证》和《药品经营质量管理规范认证证书》。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特此说明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四川太极大药房连锁有限公司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C0B8B"/>
    <w:rsid w:val="04964263"/>
    <w:rsid w:val="591C0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2017-09-22T11:53:00Z</dcterms:created>
  <dc:creator>Administrator</dc:creator>
  <cp:lastModifiedBy>Administrator</cp:lastModifiedBy>
  <cp:lastPrinted>2017-09-22T11:58:56Z</cp:lastPrinted>
  <dcterms:modified xsi:type="dcterms:W3CDTF">2017-09-22T12:01:11Z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