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一．数据分析（7.26-8.25）：</w:t>
      </w:r>
    </w:p>
    <w:tbl>
      <w:tblPr>
        <w:tblStyle w:val="4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21"/>
        <w:gridCol w:w="80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销售额（元）</w:t>
            </w:r>
          </w:p>
        </w:tc>
        <w:tc>
          <w:tcPr>
            <w:tcW w:w="80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笔数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16年</w:t>
            </w:r>
          </w:p>
        </w:tc>
        <w:tc>
          <w:tcPr>
            <w:tcW w:w="13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281222.6</w:t>
            </w:r>
          </w:p>
        </w:tc>
        <w:tc>
          <w:tcPr>
            <w:tcW w:w="8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3642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17年</w:t>
            </w:r>
          </w:p>
        </w:tc>
        <w:tc>
          <w:tcPr>
            <w:tcW w:w="132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258599.3</w:t>
            </w:r>
          </w:p>
        </w:tc>
        <w:tc>
          <w:tcPr>
            <w:tcW w:w="8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3287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对比数据</w:t>
            </w:r>
          </w:p>
        </w:tc>
        <w:tc>
          <w:tcPr>
            <w:tcW w:w="13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-22623.4</w:t>
            </w:r>
          </w:p>
        </w:tc>
        <w:tc>
          <w:tcPr>
            <w:tcW w:w="80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-355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府城店</w:t>
      </w:r>
      <w:r>
        <w:rPr>
          <w:rFonts w:hint="eastAsia"/>
          <w:lang w:val="en-US" w:eastAsia="zh-CN"/>
        </w:rPr>
        <w:t>8月整体销售同比去年下降22623.4元，客流下降355笔，日均客流下降12笔，与上月相比销售下降2505.6元，客流上升70元。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主要原因是1.成汉南路新店的正式营业分流了天府新谷园区以及仁和，誉峰两个小区的顾客          （这部分顾客占门店平时销售的85%左右），这是客流下滑的主要原因。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府城店7.2-8.25日销售数据对比</w:t>
      </w:r>
    </w:p>
    <w:tbl>
      <w:tblPr>
        <w:tblStyle w:val="4"/>
        <w:tblW w:w="5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3"/>
        <w:gridCol w:w="1377"/>
        <w:gridCol w:w="110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总销售</w:t>
            </w:r>
          </w:p>
        </w:tc>
        <w:tc>
          <w:tcPr>
            <w:tcW w:w="11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笔数</w:t>
            </w:r>
          </w:p>
        </w:tc>
        <w:tc>
          <w:tcPr>
            <w:tcW w:w="1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毛利额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16年</w:t>
            </w:r>
          </w:p>
        </w:tc>
        <w:tc>
          <w:tcPr>
            <w:tcW w:w="13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481457.18元</w:t>
            </w:r>
          </w:p>
        </w:tc>
        <w:tc>
          <w:tcPr>
            <w:tcW w:w="11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6168笔</w:t>
            </w:r>
          </w:p>
        </w:tc>
        <w:tc>
          <w:tcPr>
            <w:tcW w:w="1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163661.18元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17年</w:t>
            </w:r>
          </w:p>
        </w:tc>
        <w:tc>
          <w:tcPr>
            <w:tcW w:w="13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481645.66元</w:t>
            </w:r>
          </w:p>
        </w:tc>
        <w:tc>
          <w:tcPr>
            <w:tcW w:w="11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5785笔</w:t>
            </w:r>
          </w:p>
        </w:tc>
        <w:tc>
          <w:tcPr>
            <w:tcW w:w="1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160045.35元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对比数据</w:t>
            </w:r>
          </w:p>
        </w:tc>
        <w:tc>
          <w:tcPr>
            <w:tcW w:w="13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188.48元</w:t>
            </w:r>
          </w:p>
        </w:tc>
        <w:tc>
          <w:tcPr>
            <w:tcW w:w="11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-383笔</w:t>
            </w:r>
          </w:p>
        </w:tc>
        <w:tc>
          <w:tcPr>
            <w:tcW w:w="14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-3615.83元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成汉店7.2-8.25日共计销售金额218213.11元，共3998笔，日均73笔。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销售增量措施：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1.整理门店慢性病顾客资料，对慢性病顾客进行定期的电话或微信回访，慰问，加强我们门店和慢病顾客的粘连度，对于有需求的顾客门店可主动提出送货上门。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2.宣传会员权益，大力发展新会员，培养新的忠实顾客。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3.加强门店销售人员的专业知识学习，用我们的专业服务信服顾客，切实为顾客解决病症，让顾客离不开我们（有用药需求时首先会第一时间想到太极府城店XXX）.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4.加强门店品种学习，针对不同顾客推荐不同价位的品种，而不是一味的推荐高毛、金牌，让顾客觉得我们的药贵。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4.做好门店卫生，及时整理门店空缺货品，为顾客提供一个干净，整洁的购药环境，让顾客喜欢主动到店购药。</w:t>
      </w:r>
      <w:bookmarkStart w:id="0" w:name="_GoBack"/>
      <w:bookmarkEnd w:id="0"/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ED39"/>
    <w:multiLevelType w:val="singleLevel"/>
    <w:tmpl w:val="59ABED39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6453F"/>
    <w:rsid w:val="69ED064F"/>
    <w:rsid w:val="780C0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fcdd</dc:creator>
  <cp:lastModifiedBy>fcdd</cp:lastModifiedBy>
  <dcterms:modified xsi:type="dcterms:W3CDTF">2017-09-03T12:13:46Z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