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门   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人员ID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都江堰店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袁晓捷</w:t>
            </w: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997487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1" w:type="dxa"/>
          </w:tcPr>
          <w:p>
            <w:pPr>
              <w:numPr>
                <w:ilvl w:val="0"/>
                <w:numId w:val="0"/>
              </w:numPr>
              <w:ind w:right="-512" w:rightChars="-244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bookmarkStart w:id="0" w:name="_GoBack"/>
    <w:bookmarkEnd w:id="0"/>
    <w:r>
      <w:rPr>
        <w:rFonts w:hint="eastAsia"/>
        <w:lang w:eastAsia="zh-CN"/>
      </w:rPr>
      <w:t>参加五四运动会人员名单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A7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2017-05-08T03:12:16Z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