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</w:t>
      </w:r>
      <w:bookmarkStart w:id="0" w:name="_GoBack"/>
      <w:bookmarkEnd w:id="0"/>
      <w:r>
        <w:rPr>
          <w:rFonts w:hint="eastAsia"/>
          <w:lang w:eastAsia="zh-CN"/>
        </w:rPr>
        <w:t>文棋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3523FD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2017-05-26T07:17:23Z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