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5D" w:rsidRPr="0074475D" w:rsidRDefault="0074475D" w:rsidP="0074475D">
      <w:pPr>
        <w:spacing w:line="560" w:lineRule="exact"/>
        <w:jc w:val="center"/>
        <w:rPr>
          <w:rFonts w:ascii="方正仿宋_GBK" w:eastAsia="方正仿宋_GBK"/>
          <w:sz w:val="27"/>
          <w:szCs w:val="27"/>
        </w:rPr>
      </w:pPr>
      <w:r w:rsidRPr="0074475D">
        <w:rPr>
          <w:rFonts w:ascii="方正仿宋_GBK" w:eastAsia="方正仿宋_GBK" w:hint="eastAsia"/>
          <w:sz w:val="27"/>
          <w:szCs w:val="27"/>
        </w:rPr>
        <w:t>全局系统外部单位类型说明（2017）</w:t>
      </w:r>
    </w:p>
    <w:tbl>
      <w:tblPr>
        <w:tblpPr w:leftFromText="180" w:rightFromText="180" w:vertAnchor="text" w:horzAnchor="margin" w:tblpXSpec="center" w:tblpY="1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5811"/>
      </w:tblGrid>
      <w:tr w:rsidR="0074475D" w:rsidRPr="0074475D" w:rsidTr="0074475D">
        <w:trPr>
          <w:trHeight w:val="1260"/>
          <w:tblHeader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bCs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bCs/>
                <w:color w:val="000000"/>
                <w:sz w:val="23"/>
                <w:szCs w:val="23"/>
              </w:rPr>
              <w:t>单位类型ID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bCs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bCs/>
                <w:color w:val="000000"/>
                <w:sz w:val="23"/>
                <w:szCs w:val="23"/>
              </w:rPr>
              <w:t>单位类型名称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bCs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bCs/>
                <w:color w:val="000000"/>
                <w:sz w:val="23"/>
                <w:szCs w:val="23"/>
              </w:rPr>
              <w:t>单位类型说明</w:t>
            </w:r>
          </w:p>
        </w:tc>
      </w:tr>
      <w:tr w:rsidR="0074475D" w:rsidRPr="0074475D" w:rsidTr="0074475D">
        <w:trPr>
          <w:trHeight w:val="453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内部商业企业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太极集团内部商业公司，直营纯零售公司除外。</w:t>
            </w:r>
          </w:p>
        </w:tc>
      </w:tr>
      <w:tr w:rsidR="0074475D" w:rsidRPr="0074475D" w:rsidTr="0074475D">
        <w:trPr>
          <w:trHeight w:val="459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内部工业企业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太极集团内部工业生产厂家</w:t>
            </w:r>
          </w:p>
        </w:tc>
      </w:tr>
      <w:tr w:rsidR="0074475D" w:rsidRPr="0074475D" w:rsidTr="0074475D">
        <w:trPr>
          <w:trHeight w:val="467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外部商业企业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太极集团外部商业公司，直营纯零售公司除外。</w:t>
            </w:r>
          </w:p>
        </w:tc>
      </w:tr>
      <w:tr w:rsidR="0074475D" w:rsidRPr="0074475D" w:rsidTr="0074475D">
        <w:trPr>
          <w:trHeight w:val="447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外部工业企业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太极集团外部工业生产厂家</w:t>
            </w:r>
          </w:p>
        </w:tc>
      </w:tr>
      <w:tr w:rsidR="0074475D" w:rsidRPr="0074475D" w:rsidTr="0074475D">
        <w:trPr>
          <w:trHeight w:val="442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sz w:val="23"/>
                <w:szCs w:val="23"/>
              </w:rPr>
              <w:t>个体商户及农民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sz w:val="23"/>
                <w:szCs w:val="23"/>
              </w:rPr>
              <w:t>个体商户、</w:t>
            </w: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农民专业合作社或农民等生产者。</w:t>
            </w:r>
          </w:p>
        </w:tc>
      </w:tr>
      <w:tr w:rsidR="0074475D" w:rsidRPr="0074475D" w:rsidTr="0074475D">
        <w:trPr>
          <w:trHeight w:val="420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6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公立三级医院</w:t>
            </w:r>
          </w:p>
        </w:tc>
        <w:tc>
          <w:tcPr>
            <w:tcW w:w="5811" w:type="dxa"/>
            <w:vMerge w:val="restart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sz w:val="23"/>
                <w:szCs w:val="23"/>
              </w:rPr>
              <w:t>包含部队、武警系统医院，不包含已评级的乡镇卫生院及社区服务中心。</w:t>
            </w:r>
          </w:p>
        </w:tc>
      </w:tr>
      <w:tr w:rsidR="0074475D" w:rsidRPr="0074475D" w:rsidTr="0074475D">
        <w:trPr>
          <w:trHeight w:val="420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7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公立二级医院</w:t>
            </w:r>
          </w:p>
        </w:tc>
        <w:tc>
          <w:tcPr>
            <w:tcW w:w="5811" w:type="dxa"/>
            <w:vMerge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sz w:val="23"/>
                <w:szCs w:val="23"/>
              </w:rPr>
            </w:pPr>
          </w:p>
        </w:tc>
      </w:tr>
      <w:tr w:rsidR="0074475D" w:rsidRPr="0074475D" w:rsidTr="0074475D">
        <w:trPr>
          <w:trHeight w:val="398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8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公立一级及未评级医院</w:t>
            </w:r>
          </w:p>
        </w:tc>
        <w:tc>
          <w:tcPr>
            <w:tcW w:w="5811" w:type="dxa"/>
            <w:vMerge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sz w:val="23"/>
                <w:szCs w:val="23"/>
              </w:rPr>
            </w:pPr>
          </w:p>
        </w:tc>
      </w:tr>
      <w:tr w:rsidR="0074475D" w:rsidRPr="0074475D" w:rsidTr="0074475D">
        <w:trPr>
          <w:trHeight w:val="469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9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公立乡镇卫生院（站、室）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包含乡镇卫生院（站、室）、村卫生院（站、室）。</w:t>
            </w:r>
          </w:p>
        </w:tc>
      </w:tr>
      <w:tr w:rsidR="0074475D" w:rsidRPr="0074475D" w:rsidTr="0074475D">
        <w:trPr>
          <w:trHeight w:val="651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公立城市社区医疗（卫生）服务中心（站）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社区医疗（卫生）服务中心（站）、医院单设的门诊。</w:t>
            </w:r>
          </w:p>
        </w:tc>
      </w:tr>
      <w:tr w:rsidR="0074475D" w:rsidRPr="0074475D" w:rsidTr="0074475D">
        <w:trPr>
          <w:trHeight w:val="761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公立专业卫生机构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包含干休所、血站、血防站、疾病预防控制中心、计划生育指导站、卫生监督所（中心）、戒毒所。</w:t>
            </w:r>
          </w:p>
        </w:tc>
      </w:tr>
      <w:tr w:rsidR="0074475D" w:rsidRPr="0074475D" w:rsidTr="0074475D">
        <w:trPr>
          <w:trHeight w:val="418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民营二级及以上医院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74475D" w:rsidRPr="0074475D" w:rsidTr="0074475D">
        <w:trPr>
          <w:trHeight w:val="424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民营其他医院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民营二级以下医院及所有民营诊所。</w:t>
            </w:r>
          </w:p>
        </w:tc>
      </w:tr>
      <w:tr w:rsidR="0074475D" w:rsidRPr="0074475D" w:rsidTr="0074475D">
        <w:trPr>
          <w:trHeight w:val="415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其他医疗机构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上述未包含的医疗机构。</w:t>
            </w:r>
          </w:p>
        </w:tc>
      </w:tr>
      <w:tr w:rsidR="0074475D" w:rsidRPr="0074475D" w:rsidTr="0074475D">
        <w:trPr>
          <w:trHeight w:val="1116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内部零售连锁公司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太极集团内部零售连锁公司，包括重庆桐君阁连锁、重庆太极大药房连锁、四川太极大药房连锁，以及其在全局系统中有记录的直营门店。</w:t>
            </w:r>
          </w:p>
        </w:tc>
      </w:tr>
      <w:tr w:rsidR="0074475D" w:rsidRPr="0074475D" w:rsidTr="0074475D">
        <w:trPr>
          <w:trHeight w:val="409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内部加盟药店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太极集团内部零售连锁公司的加盟药店。</w:t>
            </w:r>
          </w:p>
        </w:tc>
      </w:tr>
      <w:tr w:rsidR="0074475D" w:rsidRPr="0074475D" w:rsidTr="0074475D">
        <w:trPr>
          <w:trHeight w:val="699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外部零售连锁公司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太极集团外部医药零售连锁公司，包含该公司的加盟药店。</w:t>
            </w:r>
          </w:p>
        </w:tc>
      </w:tr>
      <w:tr w:rsidR="0074475D" w:rsidRPr="0074475D" w:rsidTr="0074475D">
        <w:trPr>
          <w:trHeight w:val="420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社会单体药店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74475D" w:rsidRPr="0074475D" w:rsidTr="0074475D">
        <w:trPr>
          <w:trHeight w:val="545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其他单位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本表所列客户类型以外的其他客户。</w:t>
            </w:r>
          </w:p>
        </w:tc>
      </w:tr>
      <w:tr w:rsidR="0074475D" w:rsidRPr="0074475D" w:rsidTr="0074475D">
        <w:trPr>
          <w:trHeight w:val="420"/>
        </w:trPr>
        <w:tc>
          <w:tcPr>
            <w:tcW w:w="675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jc w:val="center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国外企业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74475D" w:rsidRPr="0074475D" w:rsidRDefault="0074475D" w:rsidP="0074475D">
            <w:pPr>
              <w:adjustRightInd/>
              <w:snapToGrid/>
              <w:spacing w:after="0"/>
              <w:rPr>
                <w:rFonts w:ascii="方正仿宋_GBK" w:eastAsia="方正仿宋_GBK" w:hAnsiTheme="minorEastAsia" w:cs="宋体"/>
                <w:color w:val="000000"/>
                <w:sz w:val="23"/>
                <w:szCs w:val="23"/>
              </w:rPr>
            </w:pPr>
            <w:r w:rsidRPr="0074475D">
              <w:rPr>
                <w:rFonts w:ascii="方正仿宋_GBK" w:eastAsia="方正仿宋_GBK" w:hAnsiTheme="minorEastAsia" w:cs="宋体" w:hint="eastAsia"/>
                <w:color w:val="000000"/>
                <w:sz w:val="23"/>
                <w:szCs w:val="23"/>
              </w:rPr>
              <w:t>国外企业</w:t>
            </w:r>
          </w:p>
        </w:tc>
      </w:tr>
    </w:tbl>
    <w:p w:rsidR="00FD5DE9" w:rsidRPr="0074475D" w:rsidRDefault="00FD5DE9" w:rsidP="0074475D">
      <w:pPr>
        <w:spacing w:line="500" w:lineRule="exact"/>
        <w:ind w:right="440"/>
        <w:rPr>
          <w:sz w:val="21"/>
          <w:szCs w:val="21"/>
        </w:rPr>
      </w:pPr>
    </w:p>
    <w:sectPr w:rsidR="00FD5DE9" w:rsidRPr="0074475D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3CB" w:rsidRPr="0074475D" w:rsidRDefault="009813CB" w:rsidP="000E6C38">
      <w:pPr>
        <w:spacing w:after="0"/>
        <w:rPr>
          <w:sz w:val="21"/>
          <w:szCs w:val="21"/>
        </w:rPr>
      </w:pPr>
      <w:r w:rsidRPr="0074475D">
        <w:rPr>
          <w:sz w:val="21"/>
          <w:szCs w:val="21"/>
        </w:rPr>
        <w:separator/>
      </w:r>
    </w:p>
  </w:endnote>
  <w:endnote w:type="continuationSeparator" w:id="0">
    <w:p w:rsidR="009813CB" w:rsidRPr="0074475D" w:rsidRDefault="009813CB" w:rsidP="000E6C38">
      <w:pPr>
        <w:spacing w:after="0"/>
        <w:rPr>
          <w:sz w:val="21"/>
          <w:szCs w:val="21"/>
        </w:rPr>
      </w:pPr>
      <w:r w:rsidRPr="0074475D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2F" w:rsidRPr="0074475D" w:rsidRDefault="00AC412F">
    <w:pPr>
      <w:pStyle w:val="a5"/>
      <w:jc w:val="center"/>
      <w:rPr>
        <w:sz w:val="17"/>
        <w:szCs w:val="17"/>
      </w:rPr>
    </w:pPr>
  </w:p>
  <w:p w:rsidR="00AC412F" w:rsidRPr="0074475D" w:rsidRDefault="00AC412F">
    <w:pPr>
      <w:pStyle w:val="a5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3CB" w:rsidRPr="0074475D" w:rsidRDefault="009813CB" w:rsidP="000E6C38">
      <w:pPr>
        <w:spacing w:after="0"/>
        <w:rPr>
          <w:sz w:val="21"/>
          <w:szCs w:val="21"/>
        </w:rPr>
      </w:pPr>
      <w:r w:rsidRPr="0074475D">
        <w:rPr>
          <w:sz w:val="21"/>
          <w:szCs w:val="21"/>
        </w:rPr>
        <w:separator/>
      </w:r>
    </w:p>
  </w:footnote>
  <w:footnote w:type="continuationSeparator" w:id="0">
    <w:p w:rsidR="009813CB" w:rsidRPr="0074475D" w:rsidRDefault="009813CB" w:rsidP="000E6C38">
      <w:pPr>
        <w:spacing w:after="0"/>
        <w:rPr>
          <w:sz w:val="21"/>
          <w:szCs w:val="21"/>
        </w:rPr>
      </w:pPr>
      <w:r w:rsidRPr="0074475D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850"/>
    <w:rsid w:val="00022BAB"/>
    <w:rsid w:val="000E6C38"/>
    <w:rsid w:val="001A0624"/>
    <w:rsid w:val="00271088"/>
    <w:rsid w:val="00323B43"/>
    <w:rsid w:val="003975D3"/>
    <w:rsid w:val="003D37D8"/>
    <w:rsid w:val="00426133"/>
    <w:rsid w:val="004358AB"/>
    <w:rsid w:val="00453FB4"/>
    <w:rsid w:val="004F564F"/>
    <w:rsid w:val="00552858"/>
    <w:rsid w:val="0058587D"/>
    <w:rsid w:val="00595A18"/>
    <w:rsid w:val="005B7686"/>
    <w:rsid w:val="006D531D"/>
    <w:rsid w:val="0071351E"/>
    <w:rsid w:val="0074475D"/>
    <w:rsid w:val="00775389"/>
    <w:rsid w:val="007F6129"/>
    <w:rsid w:val="0082222A"/>
    <w:rsid w:val="008B2B2D"/>
    <w:rsid w:val="008B7726"/>
    <w:rsid w:val="008C35BD"/>
    <w:rsid w:val="00915932"/>
    <w:rsid w:val="00951E4B"/>
    <w:rsid w:val="009813CB"/>
    <w:rsid w:val="0099770A"/>
    <w:rsid w:val="00AC412F"/>
    <w:rsid w:val="00C73085"/>
    <w:rsid w:val="00D0506C"/>
    <w:rsid w:val="00D31D50"/>
    <w:rsid w:val="00DD23EC"/>
    <w:rsid w:val="00DE7303"/>
    <w:rsid w:val="00E400DD"/>
    <w:rsid w:val="00EC499F"/>
    <w:rsid w:val="00F51DC7"/>
    <w:rsid w:val="00F67850"/>
    <w:rsid w:val="00FA2D47"/>
    <w:rsid w:val="00FD5DE9"/>
    <w:rsid w:val="00FE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30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7303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6C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6C38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6C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6C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94954E-80F4-40E3-BA2A-82FB40CB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</cp:revision>
  <cp:lastPrinted>2017-05-09T01:44:00Z</cp:lastPrinted>
  <dcterms:created xsi:type="dcterms:W3CDTF">2008-09-11T17:20:00Z</dcterms:created>
  <dcterms:modified xsi:type="dcterms:W3CDTF">2017-05-09T02:22:00Z</dcterms:modified>
</cp:coreProperties>
</file>