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城郊二片</w:t>
      </w:r>
      <w:r>
        <w:rPr>
          <w:rFonts w:hint="eastAsia"/>
          <w:b/>
          <w:bCs/>
          <w:sz w:val="36"/>
          <w:szCs w:val="44"/>
          <w:lang w:val="en-US" w:eastAsia="zh-CN"/>
        </w:rPr>
        <w:t>11月考试题</w:t>
      </w:r>
    </w:p>
    <w:p>
      <w:pPr>
        <w:tabs>
          <w:tab w:val="left" w:pos="2520"/>
        </w:tabs>
        <w:ind w:firstLine="420"/>
        <w:rPr>
          <w:rFonts w:hint="eastAsia"/>
        </w:rPr>
      </w:pPr>
      <w:r>
        <w:rPr>
          <w:rFonts w:hint="eastAsia"/>
          <w:lang w:val="en-US" w:eastAsia="zh-CN"/>
        </w:rPr>
        <w:t>门店：                      姓名：                          分数：</w:t>
      </w: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、填空题：</w:t>
      </w:r>
    </w:p>
    <w:p>
      <w:pPr>
        <w:rPr>
          <w:rFonts w:hint="eastAsia"/>
        </w:rPr>
      </w:pPr>
      <w:r>
        <w:rPr>
          <w:rFonts w:hint="eastAsia"/>
        </w:rPr>
        <w:t>　　1、药品包装必须按照规定印有或者贴有(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)，不得夹带其他任何介绍或者宣传产品、企业的文字、音像及其他资料。</w:t>
      </w:r>
    </w:p>
    <w:p>
      <w:pPr>
        <w:rPr>
          <w:rFonts w:hint="eastAsia"/>
        </w:rPr>
      </w:pPr>
      <w:r>
        <w:rPr>
          <w:rFonts w:hint="eastAsia"/>
        </w:rPr>
        <w:t>　　2、计算机系统运行中涉及企业经营和管理的数据应当采用安全、可靠的方式储存并(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3、对首营企业的审核，应当查验加盖其公章原印章的资料有(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)(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)(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)(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)(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)(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)(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4、储存药品相对湿度为(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　　5、对储存条件有特殊要求的或者(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)品种应当进行重点养护</w:t>
      </w:r>
    </w:p>
    <w:p>
      <w:pPr>
        <w:rPr>
          <w:rFonts w:hint="eastAsia"/>
        </w:rPr>
      </w:pPr>
      <w:r>
        <w:rPr>
          <w:rFonts w:hint="eastAsia"/>
        </w:rPr>
        <w:t>　　6、企业应当采用计算机系统对库存药品的有效期进行自动跟踪和控制，采取(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)及(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)等措施。</w:t>
      </w:r>
    </w:p>
    <w:p>
      <w:pPr>
        <w:rPr>
          <w:rFonts w:hint="eastAsia"/>
        </w:rPr>
      </w:pPr>
      <w:r>
        <w:rPr>
          <w:rFonts w:hint="eastAsia"/>
        </w:rPr>
        <w:t>　　7、对质量可疑的药品应当立即采取()措施，并在计算机系统中(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)，同时报告(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8、企业法定代表人或者企业负责人应当具备(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9、记录及相关凭证应当至少保存(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)年。</w:t>
      </w:r>
    </w:p>
    <w:p>
      <w:pPr>
        <w:rPr>
          <w:rFonts w:hint="eastAsia"/>
        </w:rPr>
      </w:pPr>
      <w:r>
        <w:rPr>
          <w:rFonts w:hint="eastAsia"/>
        </w:rPr>
        <w:t>　　10、企业应当在营业场所的显著位置悬挂(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)等.</w:t>
      </w:r>
    </w:p>
    <w:p>
      <w:pPr>
        <w:rPr>
          <w:rFonts w:hint="eastAsia"/>
        </w:rPr>
      </w:pPr>
      <w:r>
        <w:rPr>
          <w:rFonts w:hint="eastAsia"/>
        </w:rPr>
        <w:t>　　11、销售近效期药品应当(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);</w:t>
      </w:r>
    </w:p>
    <w:p>
      <w:pPr>
        <w:rPr>
          <w:rFonts w:hint="eastAsia"/>
        </w:rPr>
      </w:pPr>
      <w:r>
        <w:rPr>
          <w:rFonts w:hint="eastAsia"/>
        </w:rPr>
        <w:t>　　12、对实施电子监管的药品，在售出时，应当进行(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)和(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13、药品的标签是指药品包装上印有或者贴有的内容，分为(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)和(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14、药品商品名称不得与通用名称(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)，其字体和颜色不得比通用名称更突出和显著。</w:t>
      </w:r>
    </w:p>
    <w:p>
      <w:pPr>
        <w:rPr>
          <w:rFonts w:hint="eastAsia"/>
        </w:rPr>
      </w:pPr>
      <w:r>
        <w:rPr>
          <w:rFonts w:hint="eastAsia"/>
        </w:rPr>
        <w:t>　　15、新修订的《中华人民共和国药品管理法》从(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)年(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)月(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)日起实施。</w:t>
      </w:r>
    </w:p>
    <w:p>
      <w:pPr>
        <w:rPr>
          <w:rFonts w:hint="eastAsia"/>
        </w:rPr>
      </w:pPr>
      <w:r>
        <w:rPr>
          <w:rFonts w:hint="eastAsia"/>
        </w:rPr>
        <w:t>　　16、药品批准文号中H、S、Z、J、B、F、分别代表的含义是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)、(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　　17、药品广告的内容必须真实、合法，以国务院药品监督管理部门批准的(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)为准。</w:t>
      </w:r>
    </w:p>
    <w:p>
      <w:pPr>
        <w:rPr>
          <w:rFonts w:hint="eastAsia"/>
        </w:rPr>
      </w:pPr>
      <w:r>
        <w:rPr>
          <w:rFonts w:hint="eastAsia"/>
        </w:rPr>
        <w:t>　　18、企业应当定期以及在质量管理体系关键要素发生重大变化时，组织开展(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>　　19、企业应当对药品供货单位、购货单位的质量管理体系进行评价，确认其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)和(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),必要时进行实地考察。</w:t>
      </w:r>
    </w:p>
    <w:p>
      <w:pPr>
        <w:rPr>
          <w:rFonts w:hint="eastAsia"/>
        </w:rPr>
      </w:pPr>
      <w:r>
        <w:rPr>
          <w:rFonts w:hint="eastAsia"/>
        </w:rPr>
        <w:t>　　20、企业质量负责人应当由高层管理人员担任，全面负责药品质量管理工作，独立履行职责，在企业内部对药品质量管理具有(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)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案列分析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一位60岁顾客进店，说自己骨关节疼痛，晚上睡觉，小腿抽搐，请分析该顾客病情以及联合用药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2、一位妇女进店，说自己最近白带增多，有异味，白带为黄色，阴道瘙痒，请分析该顾客病情以及联合用药</w:t>
      </w:r>
    </w:p>
    <w:sectPr>
      <w:pgSz w:w="11906" w:h="16838"/>
      <w:pgMar w:top="1440" w:right="106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155A"/>
    <w:multiLevelType w:val="singleLevel"/>
    <w:tmpl w:val="5A31155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3115B4"/>
    <w:multiLevelType w:val="singleLevel"/>
    <w:tmpl w:val="5A311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53488"/>
    <w:rsid w:val="13D40183"/>
    <w:rsid w:val="1D0E5114"/>
    <w:rsid w:val="2A9677A5"/>
    <w:rsid w:val="49B53488"/>
    <w:rsid w:val="57E83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2017-06-25T02:01:00Z</dcterms:created>
  <dc:creator>Administrator</dc:creator>
  <cp:lastModifiedBy>Administrator</cp:lastModifiedBy>
  <dcterms:modified xsi:type="dcterms:W3CDTF">2017-12-13T11:56:28Z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