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73" w:tblpY="301"/>
        <w:tblOverlap w:val="never"/>
        <w:tblW w:w="5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1185"/>
        <w:gridCol w:w="1350"/>
        <w:gridCol w:w="1150"/>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利润总额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-36382.11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3436.13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-39818.24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8"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-1555.95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7210.67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-8766.62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-85779.20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-123817.61 </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38038.41 </w:t>
            </w:r>
          </w:p>
        </w:tc>
      </w:tr>
    </w:tbl>
    <w:p>
      <w:pPr>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西北片区后进门店措施</w:t>
      </w:r>
      <w:bookmarkStart w:id="0" w:name="_GoBack"/>
      <w:bookmarkEnd w:id="0"/>
    </w:p>
    <w:p>
      <w:r>
        <w:drawing>
          <wp:inline distT="0" distB="0" distL="114300" distR="114300">
            <wp:extent cx="6200775" cy="4403725"/>
            <wp:effectExtent l="4445" t="4445" r="5080" b="1143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bl>
      <w:tblPr>
        <w:tblStyle w:val="3"/>
        <w:tblpPr w:leftFromText="180" w:rightFromText="180" w:vertAnchor="text" w:horzAnchor="page" w:tblpX="1465" w:tblpY="238"/>
        <w:tblOverlap w:val="never"/>
        <w:tblW w:w="4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6"/>
        <w:gridCol w:w="1092"/>
        <w:gridCol w:w="1234"/>
        <w:gridCol w:w="105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9"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含税销售收入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6"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74975.46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1435848.91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1360873.45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1225008.87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1242363.66</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17354.79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1"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851608.04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804388.39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-47219.65 </w:t>
            </w:r>
          </w:p>
        </w:tc>
      </w:tr>
    </w:tbl>
    <w:p>
      <w:pPr>
        <w:tabs>
          <w:tab w:val="left" w:pos="5237"/>
        </w:tabs>
      </w:pPr>
      <w:r>
        <w:rPr>
          <w:rFonts w:hint="eastAsia"/>
          <w:lang w:val="en-US" w:eastAsia="zh-CN"/>
        </w:rPr>
        <w:tab/>
      </w:r>
      <w:r>
        <w:drawing>
          <wp:inline distT="0" distB="0" distL="114300" distR="114300">
            <wp:extent cx="6496050" cy="4892040"/>
            <wp:effectExtent l="4445" t="4445" r="14605" b="1841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3"/>
        <w:tblpPr w:leftFromText="180" w:rightFromText="180" w:vertAnchor="text" w:horzAnchor="page" w:tblpX="1590" w:tblpY="50"/>
        <w:tblOverlap w:val="never"/>
        <w:tblW w:w="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0"/>
        <w:gridCol w:w="1084"/>
        <w:gridCol w:w="1216"/>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不含税毛利率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8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 xml:space="preserve"> </w:t>
            </w:r>
            <w:r>
              <w:rPr>
                <w:rFonts w:hint="eastAsia" w:ascii="宋体" w:hAnsi="宋体" w:eastAsia="宋体" w:cs="宋体"/>
                <w:i w:val="0"/>
                <w:color w:val="000000"/>
                <w:sz w:val="20"/>
                <w:szCs w:val="20"/>
                <w:u w:val="none"/>
                <w:lang w:val="en-US" w:eastAsia="zh-CN"/>
              </w:rPr>
              <w:t xml:space="preserve">   </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1"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2"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r>
    </w:tbl>
    <w:p>
      <w:pPr>
        <w:tabs>
          <w:tab w:val="left" w:pos="5237"/>
        </w:tabs>
      </w:pPr>
      <w:r>
        <w:rPr>
          <w:rFonts w:hint="eastAsia"/>
          <w:lang w:val="en-US" w:eastAsia="zh-CN"/>
        </w:rPr>
        <w:t xml:space="preserve">  </w:t>
      </w:r>
      <w:r>
        <w:drawing>
          <wp:inline distT="0" distB="0" distL="114300" distR="114300">
            <wp:extent cx="6129655" cy="4853305"/>
            <wp:effectExtent l="4445" t="4445" r="19050"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Style w:val="3"/>
        <w:tblpPr w:leftFromText="180" w:rightFromText="180" w:vertAnchor="text" w:horzAnchor="page" w:tblpX="1623" w:tblpY="-60"/>
        <w:tblOverlap w:val="never"/>
        <w:tblW w:w="5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0"/>
        <w:gridCol w:w="1050"/>
        <w:gridCol w:w="1234"/>
        <w:gridCol w:w="1033"/>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门店ID</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门店名称 </w:t>
            </w:r>
          </w:p>
        </w:tc>
        <w:tc>
          <w:tcPr>
            <w:tcW w:w="3434"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2016.01-11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2017.01-11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7"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清江东路2店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16138.23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391277.58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375139.35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2"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浣花滨河店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372544.75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354175.9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9"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新怡路店）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356698.14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294580.89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-62117.25</w:t>
            </w:r>
          </w:p>
        </w:tc>
      </w:tr>
    </w:tbl>
    <w:p>
      <w:pPr>
        <w:tabs>
          <w:tab w:val="left" w:pos="5237"/>
        </w:tabs>
      </w:pPr>
      <w:r>
        <w:drawing>
          <wp:inline distT="0" distB="0" distL="114300" distR="114300">
            <wp:extent cx="6044565" cy="4544060"/>
            <wp:effectExtent l="4445" t="4445" r="8890" b="2349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5237"/>
        </w:tabs>
      </w:pPr>
    </w:p>
    <w:p>
      <w:pPr>
        <w:tabs>
          <w:tab w:val="left" w:pos="5237"/>
        </w:tabs>
        <w:rPr>
          <w:rFonts w:hint="eastAsia"/>
          <w:lang w:val="en-US" w:eastAsia="zh-CN"/>
        </w:rPr>
      </w:pPr>
      <w:r>
        <w:rPr>
          <w:rFonts w:hint="eastAsia"/>
          <w:lang w:val="en-US" w:eastAsia="zh-CN"/>
        </w:rPr>
        <w:t xml:space="preserve">                                                              </w:t>
      </w:r>
    </w:p>
    <w:tbl>
      <w:tblPr>
        <w:tblStyle w:val="3"/>
        <w:tblpPr w:leftFromText="180" w:rightFromText="180" w:vertAnchor="text" w:horzAnchor="page" w:tblpX="1715" w:tblpY="107"/>
        <w:tblOverlap w:val="never"/>
        <w:tblW w:w="3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中类名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补充维生素类保健食品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包装类中药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滋补营养药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皮肤病用药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6"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益生菌类食品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特殊医学用途配方食品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计生用品类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检测器材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防辐射类保健食品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-78911.96</w:t>
            </w:r>
          </w:p>
        </w:tc>
      </w:tr>
    </w:tbl>
    <w:p>
      <w:pPr>
        <w:tabs>
          <w:tab w:val="left" w:pos="5237"/>
        </w:tabs>
        <w:rPr>
          <w:rFonts w:hint="eastAsia"/>
          <w:lang w:val="en-US" w:eastAsia="zh-CN"/>
        </w:rPr>
      </w:pPr>
      <w:r>
        <w:rPr>
          <w:rFonts w:hint="eastAsia"/>
          <w:lang w:val="en-US" w:eastAsia="zh-CN"/>
        </w:rPr>
        <w:t xml:space="preserve">                                                       </w:t>
      </w:r>
      <w:r>
        <w:drawing>
          <wp:inline distT="0" distB="0" distL="114300" distR="114300">
            <wp:extent cx="6677660" cy="4287520"/>
            <wp:effectExtent l="4445" t="4445" r="23495" b="1333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5237"/>
        </w:tabs>
      </w:pPr>
      <w:r>
        <w:rPr>
          <w:rFonts w:hint="eastAsia"/>
          <w:lang w:val="en-US" w:eastAsia="zh-CN"/>
        </w:rPr>
        <w:t xml:space="preserve">                                                    </w:t>
      </w:r>
    </w:p>
    <w:p>
      <w:pPr>
        <w:tabs>
          <w:tab w:val="left" w:pos="5237"/>
        </w:tabs>
        <w:rPr>
          <w:rFonts w:hint="eastAsia"/>
          <w:lang w:val="en-US" w:eastAsia="zh-CN"/>
        </w:rPr>
      </w:pPr>
      <w:r>
        <w:rPr>
          <w:rFonts w:hint="eastAsia"/>
          <w:lang w:val="en-US" w:eastAsia="zh-CN"/>
        </w:rPr>
        <w:t xml:space="preserve">   </w:t>
      </w:r>
    </w:p>
    <w:p>
      <w:pPr>
        <w:tabs>
          <w:tab w:val="left" w:pos="5237"/>
        </w:tabs>
        <w:rPr>
          <w:rFonts w:hint="eastAsia"/>
          <w:lang w:val="en-US" w:eastAsia="zh-CN"/>
        </w:rPr>
      </w:pPr>
    </w:p>
    <w:p>
      <w:pPr>
        <w:tabs>
          <w:tab w:val="left" w:pos="5237"/>
        </w:tabs>
        <w:rPr>
          <w:rFonts w:hint="eastAsia"/>
          <w:lang w:val="en-US" w:eastAsia="zh-CN"/>
        </w:rPr>
      </w:pPr>
    </w:p>
    <w:tbl>
      <w:tblPr>
        <w:tblStyle w:val="3"/>
        <w:tblW w:w="12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9"/>
        <w:gridCol w:w="959"/>
        <w:gridCol w:w="1154"/>
        <w:gridCol w:w="869"/>
        <w:gridCol w:w="869"/>
        <w:gridCol w:w="674"/>
        <w:gridCol w:w="989"/>
        <w:gridCol w:w="929"/>
        <w:gridCol w:w="1259"/>
        <w:gridCol w:w="1124"/>
        <w:gridCol w:w="824"/>
        <w:gridCol w:w="929"/>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浣花滨河店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53396 </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1243476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438444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21383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58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12875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55618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1263045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398147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23905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53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13865</w:t>
            </w:r>
          </w:p>
        </w:tc>
      </w:tr>
    </w:tbl>
    <w:p/>
    <w:p>
      <w:pPr>
        <w:tabs>
          <w:tab w:val="left" w:pos="5237"/>
        </w:tabs>
        <w:rPr>
          <w:rFonts w:hint="eastAsia"/>
          <w:lang w:val="en-US" w:eastAsia="zh-CN"/>
        </w:rPr>
      </w:pPr>
      <w:r>
        <w:drawing>
          <wp:inline distT="0" distB="0" distL="114300" distR="114300">
            <wp:extent cx="9417050" cy="3155950"/>
            <wp:effectExtent l="4445" t="4445" r="8255" b="20955"/>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5237"/>
        </w:tabs>
        <w:rPr>
          <w:rFonts w:hint="eastAsia"/>
          <w:lang w:val="en-US" w:eastAsia="zh-CN"/>
        </w:rPr>
      </w:pPr>
      <w:r>
        <w:rPr>
          <w:rFonts w:hint="eastAsia"/>
          <w:lang w:val="en-US" w:eastAsia="zh-CN"/>
        </w:rPr>
        <w:t>上表分析：门店员工搭配销售（特别是保健品销售）能力欠缺，客单价下滑5元，利润下滑4万。措施是：（1）鼓励员工轮流参加公司或者厂家组织的保健营养素培训，提升自己对保健营养素的认识。（2）每天交接班由店长组织学习保健品一个（联合搭配品种），片区监督执行，共同学习。（3）利用自己的休息时间到清江东路学习业务知识（每周一次），对于好的案例进行总结分享。</w:t>
      </w:r>
    </w:p>
    <w:p>
      <w:pPr>
        <w:tabs>
          <w:tab w:val="left" w:pos="5237"/>
        </w:tabs>
        <w:rPr>
          <w:rFonts w:hint="eastAsia"/>
          <w:lang w:val="en-US" w:eastAsia="zh-CN"/>
        </w:rPr>
      </w:pPr>
    </w:p>
    <w:p>
      <w:pPr>
        <w:tabs>
          <w:tab w:val="left" w:pos="5237"/>
        </w:tabs>
        <w:rPr>
          <w:rFonts w:hint="eastAsia"/>
          <w:lang w:val="en-US" w:eastAsia="zh-CN"/>
        </w:rPr>
      </w:pPr>
    </w:p>
    <w:p>
      <w:pPr>
        <w:tabs>
          <w:tab w:val="left" w:pos="5237"/>
        </w:tabs>
        <w:rPr>
          <w:rFonts w:hint="eastAsia"/>
          <w:lang w:val="en-US" w:eastAsia="zh-CN"/>
        </w:rPr>
      </w:pPr>
    </w:p>
    <w:tbl>
      <w:tblPr>
        <w:tblStyle w:val="3"/>
        <w:tblW w:w="12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9"/>
        <w:gridCol w:w="959"/>
        <w:gridCol w:w="1154"/>
        <w:gridCol w:w="869"/>
        <w:gridCol w:w="869"/>
        <w:gridCol w:w="674"/>
        <w:gridCol w:w="989"/>
        <w:gridCol w:w="929"/>
        <w:gridCol w:w="1259"/>
        <w:gridCol w:w="1124"/>
        <w:gridCol w:w="824"/>
        <w:gridCol w:w="929"/>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5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清江东路2店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7581 </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138286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36710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69393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1456277 </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408032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24368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60 </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15345</w:t>
            </w:r>
          </w:p>
        </w:tc>
      </w:tr>
    </w:tbl>
    <w:p>
      <w:pPr>
        <w:ind w:firstLine="420"/>
        <w:rPr>
          <w:rFonts w:hint="eastAsia"/>
          <w:lang w:val="en-US" w:eastAsia="zh-CN"/>
        </w:rPr>
      </w:pPr>
    </w:p>
    <w:p>
      <w:pPr>
        <w:tabs>
          <w:tab w:val="left" w:pos="5237"/>
        </w:tabs>
      </w:pPr>
      <w:r>
        <w:rPr>
          <w:rFonts w:hint="eastAsia"/>
          <w:lang w:val="en-US" w:eastAsia="zh-CN"/>
        </w:rPr>
        <w:t xml:space="preserve">   </w:t>
      </w:r>
      <w:r>
        <w:drawing>
          <wp:inline distT="0" distB="0" distL="114300" distR="114300">
            <wp:extent cx="8899525" cy="3335655"/>
            <wp:effectExtent l="4445" t="4445" r="11430" b="1270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left" w:pos="5237"/>
        </w:tabs>
        <w:rPr>
          <w:rFonts w:hint="eastAsia"/>
          <w:lang w:val="en-US" w:eastAsia="zh-CN"/>
        </w:rPr>
      </w:pPr>
    </w:p>
    <w:tbl>
      <w:tblPr>
        <w:tblStyle w:val="3"/>
        <w:tblpPr w:leftFromText="180" w:rightFromText="180" w:vertAnchor="text" w:horzAnchor="page" w:tblpX="1774" w:tblpY="204"/>
        <w:tblOverlap w:val="never"/>
        <w:tblW w:w="2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18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中类ID</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中类名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泌尿生殖系统药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包装类中药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贵细中药材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补充维生素类保健食品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滋补营养药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特殊医学用途配方食品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减肥用药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进口食品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抗感染药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皮肤病用药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shd w:val="clear" w:color="auto" w:fill="auto"/>
            <w:vAlign w:val="center"/>
          </w:tcPr>
          <w:p>
            <w:pPr>
              <w:jc w:val="left"/>
              <w:rPr>
                <w:rFonts w:hint="eastAsia" w:ascii="宋体" w:hAnsi="宋体" w:eastAsia="宋体" w:cs="宋体"/>
                <w:i w:val="0"/>
                <w:color w:val="000000"/>
                <w:sz w:val="18"/>
                <w:szCs w:val="18"/>
                <w:u w:val="none"/>
              </w:rPr>
            </w:pPr>
          </w:p>
        </w:tc>
        <w:tc>
          <w:tcPr>
            <w:tcW w:w="1185" w:type="dxa"/>
            <w:shd w:val="clear" w:color="auto" w:fill="auto"/>
            <w:vAlign w:val="center"/>
          </w:tcPr>
          <w:p>
            <w:pPr>
              <w:jc w:val="left"/>
              <w:rPr>
                <w:rFonts w:hint="eastAsia" w:ascii="宋体" w:hAnsi="宋体" w:eastAsia="宋体" w:cs="宋体"/>
                <w:i w:val="0"/>
                <w:color w:val="000000"/>
                <w:sz w:val="18"/>
                <w:szCs w:val="18"/>
                <w:u w:val="none"/>
              </w:rPr>
            </w:pPr>
          </w:p>
        </w:tc>
        <w:tc>
          <w:tcPr>
            <w:tcW w:w="10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-101973.45</w:t>
            </w:r>
          </w:p>
        </w:tc>
      </w:tr>
    </w:tbl>
    <w:p>
      <w:pPr>
        <w:rPr>
          <w:rFonts w:hint="eastAsia"/>
          <w:lang w:val="en-US" w:eastAsia="zh-CN"/>
        </w:rPr>
      </w:pPr>
      <w:r>
        <w:rPr>
          <w:rFonts w:hint="eastAsia"/>
          <w:lang w:val="en-US" w:eastAsia="zh-CN"/>
        </w:rPr>
        <w:t xml:space="preserve">                                                      </w:t>
      </w:r>
    </w:p>
    <w:p>
      <w:pPr>
        <w:rPr>
          <w:rFonts w:hint="eastAsia"/>
          <w:lang w:val="en-US" w:eastAsia="zh-CN"/>
        </w:rPr>
      </w:pPr>
      <w:r>
        <w:drawing>
          <wp:inline distT="0" distB="0" distL="114300" distR="114300">
            <wp:extent cx="7085330" cy="3483610"/>
            <wp:effectExtent l="4445" t="4445" r="15875" b="1714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上表分析：门店销售品种数（泌尿系统变化），中药、贵细包装类销售下滑。止滑措施是：（1） 经营品种数对比增加：泌尿系统共计53个品种，17年较16年减少15个（其中有6个为禁请），</w:t>
      </w:r>
      <w:r>
        <w:rPr>
          <w:rFonts w:hint="eastAsia" w:ascii="宋体" w:hAnsi="宋体" w:eastAsia="宋体" w:cs="宋体"/>
          <w:i w:val="0"/>
          <w:color w:val="000000"/>
          <w:kern w:val="0"/>
          <w:sz w:val="21"/>
          <w:szCs w:val="21"/>
          <w:u w:val="none"/>
          <w:lang w:val="en-US" w:eastAsia="zh-CN" w:bidi="ar"/>
        </w:rPr>
        <w:t>包装类中药和贵细中药材共计220个品种，</w:t>
      </w:r>
      <w:r>
        <w:rPr>
          <w:rFonts w:hint="eastAsia" w:ascii="宋体" w:hAnsi="宋体" w:eastAsia="宋体" w:cs="宋体"/>
          <w:sz w:val="21"/>
          <w:szCs w:val="21"/>
          <w:lang w:val="en-US" w:eastAsia="zh-CN"/>
        </w:rPr>
        <w:t>17年较16年减少104个（其中有59个为禁请），门店筛选品种，针对实际需求在本月内增补这部分品种。（2） 补肾</w:t>
      </w:r>
      <w:r>
        <w:rPr>
          <w:rFonts w:hint="eastAsia" w:ascii="宋体" w:hAnsi="宋体" w:eastAsia="宋体" w:cs="宋体"/>
          <w:sz w:val="21"/>
          <w:szCs w:val="21"/>
          <w:lang w:eastAsia="zh-CN"/>
        </w:rPr>
        <w:t>壮阳类（万艾可和金戈）销售下滑</w:t>
      </w:r>
      <w:r>
        <w:rPr>
          <w:rFonts w:hint="eastAsia" w:ascii="宋体" w:hAnsi="宋体" w:eastAsia="宋体" w:cs="宋体"/>
          <w:sz w:val="21"/>
          <w:szCs w:val="21"/>
          <w:lang w:val="en-US" w:eastAsia="zh-CN"/>
        </w:rPr>
        <w:t xml:space="preserve">1.6万，提高门店执行力，每天做好光亮工程（定时把灯箱拿到店外吸客宣传），店长负责在本周内再次教会门店员工推荐万艾可的销售术语及活动增销售。 </w:t>
      </w:r>
    </w:p>
    <w:p>
      <w:pPr>
        <w:ind w:firstLine="420" w:firstLineChars="200"/>
        <w:rPr>
          <w:rFonts w:hint="eastAsia" w:ascii="宋体" w:hAnsi="宋体" w:eastAsia="宋体" w:cs="宋体"/>
          <w:sz w:val="21"/>
          <w:szCs w:val="21"/>
          <w:lang w:val="en-US" w:eastAsia="zh-CN"/>
        </w:rPr>
      </w:pPr>
    </w:p>
    <w:tbl>
      <w:tblPr>
        <w:tblStyle w:val="3"/>
        <w:tblpPr w:leftFromText="180" w:rightFromText="180" w:vertAnchor="text" w:horzAnchor="page" w:tblpX="1757" w:tblpY="153"/>
        <w:tblOverlap w:val="never"/>
        <w:tblW w:w="13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1"/>
        <w:gridCol w:w="955"/>
        <w:gridCol w:w="1150"/>
        <w:gridCol w:w="867"/>
        <w:gridCol w:w="866"/>
        <w:gridCol w:w="671"/>
        <w:gridCol w:w="985"/>
        <w:gridCol w:w="926"/>
        <w:gridCol w:w="1254"/>
        <w:gridCol w:w="1120"/>
        <w:gridCol w:w="822"/>
        <w:gridCol w:w="923"/>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54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2016 </w:t>
            </w:r>
          </w:p>
        </w:tc>
        <w:tc>
          <w:tcPr>
            <w:tcW w:w="5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700" w:firstLineChars="15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门店ID</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实收金额</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进销毛利</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客流量</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客单价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销售品种数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新怡店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32541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869373 </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269271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10747</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32561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815794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238458 </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14247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 xml:space="preserve">57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10602</w:t>
            </w:r>
          </w:p>
        </w:tc>
      </w:tr>
    </w:tbl>
    <w:p>
      <w:pPr>
        <w:rPr>
          <w:rFonts w:hint="eastAsia" w:ascii="宋体" w:hAnsi="宋体" w:eastAsia="宋体" w:cs="宋体"/>
          <w:sz w:val="21"/>
          <w:szCs w:val="21"/>
          <w:lang w:val="en-US" w:eastAsia="zh-CN"/>
        </w:rPr>
      </w:pPr>
    </w:p>
    <w:p>
      <w:pPr>
        <w:ind w:firstLine="420"/>
      </w:pPr>
      <w:r>
        <w:drawing>
          <wp:inline distT="0" distB="0" distL="114300" distR="114300">
            <wp:extent cx="8446135" cy="3430270"/>
            <wp:effectExtent l="4445" t="5080" r="7620" b="1270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420"/>
      </w:pPr>
    </w:p>
    <w:p>
      <w:pPr>
        <w:ind w:firstLine="420"/>
      </w:pPr>
    </w:p>
    <w:tbl>
      <w:tblPr>
        <w:tblStyle w:val="3"/>
        <w:tblW w:w="13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2640"/>
        <w:gridCol w:w="840"/>
        <w:gridCol w:w="1140"/>
        <w:gridCol w:w="945"/>
        <w:gridCol w:w="1590"/>
        <w:gridCol w:w="1155"/>
        <w:gridCol w:w="1305"/>
        <w:gridCol w:w="147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门店id</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门店名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人员id</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笔数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盒数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品种数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一单一品笔数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一单一品率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客品数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客品次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王冬梅</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18483.27343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袁文莉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5500.652014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6569.693114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四川太极清江东路2药店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陈春花</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7432.046526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余济秀</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16557.06129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四川太极青羊区浣花滨河路药店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17722.88299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784.76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230.290556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四川太极成华区新怡路店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苟姗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r>
    </w:tbl>
    <w:p>
      <w:pPr>
        <w:ind w:firstLine="420"/>
        <w:rPr>
          <w:rFonts w:hint="eastAsia"/>
          <w:lang w:val="en-US" w:eastAsia="zh-CN"/>
        </w:rPr>
      </w:pPr>
      <w:r>
        <w:rPr>
          <w:rFonts w:hint="eastAsia"/>
          <w:lang w:val="en-US" w:eastAsia="zh-CN"/>
        </w:rPr>
        <w:t>分析：客品数（期间销售商品的总盒数/交易笔数），健康指标：大于3，3个门店10个员工没有一个达到行业水平，门店的疗程用药能力需加强。</w:t>
      </w:r>
    </w:p>
    <w:p>
      <w:pPr>
        <w:ind w:firstLine="420"/>
        <w:rPr>
          <w:rFonts w:hint="eastAsia"/>
          <w:lang w:val="en-US" w:eastAsia="zh-CN"/>
        </w:rPr>
      </w:pPr>
      <w:r>
        <w:rPr>
          <w:rFonts w:hint="eastAsia"/>
          <w:lang w:val="en-US" w:eastAsia="zh-CN"/>
        </w:rPr>
        <w:t xml:space="preserve">      客品次（期间销售品规数/交易笔数），健康指标：大于1.8，3个门店10个员工没有一个达到行业水平，门店关联用药能力需加强。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414"/>
    <w:rsid w:val="005E55E3"/>
    <w:rsid w:val="00B80DAA"/>
    <w:rsid w:val="00DA12CC"/>
    <w:rsid w:val="037F379A"/>
    <w:rsid w:val="04295AD6"/>
    <w:rsid w:val="04525BFE"/>
    <w:rsid w:val="04EA4670"/>
    <w:rsid w:val="053D586D"/>
    <w:rsid w:val="05CD6903"/>
    <w:rsid w:val="06BD37F2"/>
    <w:rsid w:val="085F523C"/>
    <w:rsid w:val="0862661F"/>
    <w:rsid w:val="08F85114"/>
    <w:rsid w:val="0A0E7A44"/>
    <w:rsid w:val="0A8B1E35"/>
    <w:rsid w:val="0B0477C7"/>
    <w:rsid w:val="0B053082"/>
    <w:rsid w:val="0B5D4EB2"/>
    <w:rsid w:val="0CDB3BA4"/>
    <w:rsid w:val="0D514F24"/>
    <w:rsid w:val="0EE07BDA"/>
    <w:rsid w:val="105D4A79"/>
    <w:rsid w:val="10A533E3"/>
    <w:rsid w:val="113768A1"/>
    <w:rsid w:val="1202511C"/>
    <w:rsid w:val="126B1937"/>
    <w:rsid w:val="12B62756"/>
    <w:rsid w:val="147340EA"/>
    <w:rsid w:val="14E9257F"/>
    <w:rsid w:val="14F70D49"/>
    <w:rsid w:val="153E6012"/>
    <w:rsid w:val="16D22946"/>
    <w:rsid w:val="17D039B8"/>
    <w:rsid w:val="180F0A41"/>
    <w:rsid w:val="186F5F27"/>
    <w:rsid w:val="18720C92"/>
    <w:rsid w:val="187F5330"/>
    <w:rsid w:val="18A64E49"/>
    <w:rsid w:val="19114B75"/>
    <w:rsid w:val="19AE773B"/>
    <w:rsid w:val="1A11763A"/>
    <w:rsid w:val="1A42172C"/>
    <w:rsid w:val="1A5927EF"/>
    <w:rsid w:val="1A88202E"/>
    <w:rsid w:val="1AC41AD2"/>
    <w:rsid w:val="1B79785A"/>
    <w:rsid w:val="1C7D3259"/>
    <w:rsid w:val="1D0154EA"/>
    <w:rsid w:val="1D57231D"/>
    <w:rsid w:val="1D6964CC"/>
    <w:rsid w:val="1E3528A2"/>
    <w:rsid w:val="1E420E97"/>
    <w:rsid w:val="1E663E49"/>
    <w:rsid w:val="1F39646C"/>
    <w:rsid w:val="21837096"/>
    <w:rsid w:val="2211079D"/>
    <w:rsid w:val="235164AB"/>
    <w:rsid w:val="23E74B2C"/>
    <w:rsid w:val="23F6590A"/>
    <w:rsid w:val="245F6484"/>
    <w:rsid w:val="247022DD"/>
    <w:rsid w:val="24F7760E"/>
    <w:rsid w:val="250232AE"/>
    <w:rsid w:val="258E25F1"/>
    <w:rsid w:val="25F61657"/>
    <w:rsid w:val="272B2EC5"/>
    <w:rsid w:val="27E67C5F"/>
    <w:rsid w:val="28A74F3B"/>
    <w:rsid w:val="28EF0E21"/>
    <w:rsid w:val="29756716"/>
    <w:rsid w:val="298E7061"/>
    <w:rsid w:val="29B23CFB"/>
    <w:rsid w:val="2A0725D8"/>
    <w:rsid w:val="2A562EF1"/>
    <w:rsid w:val="2A876D6C"/>
    <w:rsid w:val="2B103573"/>
    <w:rsid w:val="2BAF4C4B"/>
    <w:rsid w:val="2BD60BF9"/>
    <w:rsid w:val="2C257724"/>
    <w:rsid w:val="2C37379D"/>
    <w:rsid w:val="2D8763A9"/>
    <w:rsid w:val="2D885A5F"/>
    <w:rsid w:val="2D8E2F00"/>
    <w:rsid w:val="2DF7262B"/>
    <w:rsid w:val="2E5536F5"/>
    <w:rsid w:val="2E827558"/>
    <w:rsid w:val="2FBF05B9"/>
    <w:rsid w:val="30E011AB"/>
    <w:rsid w:val="31AD2FE7"/>
    <w:rsid w:val="32B54E0B"/>
    <w:rsid w:val="33E12739"/>
    <w:rsid w:val="37733036"/>
    <w:rsid w:val="37951C89"/>
    <w:rsid w:val="388253F6"/>
    <w:rsid w:val="392F6EAB"/>
    <w:rsid w:val="39802AD9"/>
    <w:rsid w:val="3A064423"/>
    <w:rsid w:val="3AC41EA2"/>
    <w:rsid w:val="3CF76508"/>
    <w:rsid w:val="3DC66614"/>
    <w:rsid w:val="3DDD6B27"/>
    <w:rsid w:val="3DF806F5"/>
    <w:rsid w:val="3ED721B3"/>
    <w:rsid w:val="3F4A01FC"/>
    <w:rsid w:val="3F6C2005"/>
    <w:rsid w:val="3FA36927"/>
    <w:rsid w:val="40460011"/>
    <w:rsid w:val="40EE564B"/>
    <w:rsid w:val="4104331F"/>
    <w:rsid w:val="426D7FEB"/>
    <w:rsid w:val="445B3AC9"/>
    <w:rsid w:val="44A726BD"/>
    <w:rsid w:val="44AF2428"/>
    <w:rsid w:val="44C66591"/>
    <w:rsid w:val="44F92188"/>
    <w:rsid w:val="4554465A"/>
    <w:rsid w:val="46DD1A9B"/>
    <w:rsid w:val="48175E91"/>
    <w:rsid w:val="4870415D"/>
    <w:rsid w:val="48A04DE6"/>
    <w:rsid w:val="48C731C9"/>
    <w:rsid w:val="48FC2F33"/>
    <w:rsid w:val="4A002B58"/>
    <w:rsid w:val="4AFA37BC"/>
    <w:rsid w:val="4B166004"/>
    <w:rsid w:val="4CD83230"/>
    <w:rsid w:val="4DA827B4"/>
    <w:rsid w:val="4F2B34F9"/>
    <w:rsid w:val="4F7E3798"/>
    <w:rsid w:val="4F814DC6"/>
    <w:rsid w:val="4FD14878"/>
    <w:rsid w:val="507A1684"/>
    <w:rsid w:val="510E7F56"/>
    <w:rsid w:val="522E0F9C"/>
    <w:rsid w:val="528B59F9"/>
    <w:rsid w:val="529F1639"/>
    <w:rsid w:val="52C13466"/>
    <w:rsid w:val="54A16A9E"/>
    <w:rsid w:val="586A0066"/>
    <w:rsid w:val="5BB125B0"/>
    <w:rsid w:val="5BC76132"/>
    <w:rsid w:val="5BEC2C92"/>
    <w:rsid w:val="5D2112BF"/>
    <w:rsid w:val="5E94141A"/>
    <w:rsid w:val="5F66155F"/>
    <w:rsid w:val="60073437"/>
    <w:rsid w:val="60BE28EF"/>
    <w:rsid w:val="61333D1D"/>
    <w:rsid w:val="6156160D"/>
    <w:rsid w:val="61770A52"/>
    <w:rsid w:val="6272154E"/>
    <w:rsid w:val="629801AA"/>
    <w:rsid w:val="629C68A2"/>
    <w:rsid w:val="62C401BF"/>
    <w:rsid w:val="636F78FD"/>
    <w:rsid w:val="63AA45F7"/>
    <w:rsid w:val="63E77CC2"/>
    <w:rsid w:val="646C24F6"/>
    <w:rsid w:val="64BF6201"/>
    <w:rsid w:val="64EA481A"/>
    <w:rsid w:val="65CA14AE"/>
    <w:rsid w:val="66643A7A"/>
    <w:rsid w:val="66A42E4A"/>
    <w:rsid w:val="66D707F0"/>
    <w:rsid w:val="672055E7"/>
    <w:rsid w:val="67577473"/>
    <w:rsid w:val="6805649D"/>
    <w:rsid w:val="681D69E4"/>
    <w:rsid w:val="687F20A4"/>
    <w:rsid w:val="68861A2F"/>
    <w:rsid w:val="69CD52F3"/>
    <w:rsid w:val="6CEF0F6C"/>
    <w:rsid w:val="6D092ED6"/>
    <w:rsid w:val="6DCE15E0"/>
    <w:rsid w:val="6DF83CD0"/>
    <w:rsid w:val="6F617DBD"/>
    <w:rsid w:val="6F9D0570"/>
    <w:rsid w:val="703E6CEE"/>
    <w:rsid w:val="706502B8"/>
    <w:rsid w:val="70F86914"/>
    <w:rsid w:val="71424666"/>
    <w:rsid w:val="71844CFA"/>
    <w:rsid w:val="718B0EDE"/>
    <w:rsid w:val="71F2518F"/>
    <w:rsid w:val="72021B1F"/>
    <w:rsid w:val="7211421A"/>
    <w:rsid w:val="724405B2"/>
    <w:rsid w:val="72672BD1"/>
    <w:rsid w:val="7501589D"/>
    <w:rsid w:val="758263E3"/>
    <w:rsid w:val="76217CA9"/>
    <w:rsid w:val="77DC42D3"/>
    <w:rsid w:val="77DF2CE6"/>
    <w:rsid w:val="78AC0283"/>
    <w:rsid w:val="79324CDB"/>
    <w:rsid w:val="7A3E019D"/>
    <w:rsid w:val="7B662424"/>
    <w:rsid w:val="7BDB4A96"/>
    <w:rsid w:val="7BFF10BB"/>
    <w:rsid w:val="7CBA0830"/>
    <w:rsid w:val="7E704479"/>
    <w:rsid w:val="7FC65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8144;&#21806;&#21450;&#21033;&#28070;&#21518;&#36827;&#38376;&#24215;&#20998;&#26512;&#20250;&#25968;&#2545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8144;&#21806;&#21450;&#21033;&#28070;&#21518;&#36827;&#38376;&#24215;&#20998;&#26512;&#20250;&#25968;&#2545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8144;&#21806;&#21450;&#21033;&#28070;&#21518;&#36827;&#38376;&#24215;&#20998;&#26512;&#20250;&#25968;&#2545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8144;&#21806;&#21450;&#21033;&#28070;&#21518;&#36827;&#38376;&#24215;&#20998;&#26512;&#20250;&#25968;&#2545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8144;&#21806;&#21450;&#21033;&#28070;&#21518;&#36827;&#38376;&#24215;&#20998;&#26512;&#20250;&#25968;&#2545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38144;&#21806;&#21450;&#21033;&#28070;&#21518;&#36827;&#38376;&#24215;&#20998;&#26512;&#20250;&#25968;&#25454;.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38144;&#21806;&#21450;&#21033;&#28070;&#21518;&#36827;&#38376;&#24215;&#20998;&#26512;&#20250;&#25968;&#25454;.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38144;&#21806;&#21450;&#21033;&#28070;&#21518;&#36827;&#38376;&#24215;&#20998;&#26512;&#20250;&#25968;&#25454;.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enovo\Desktop\&#38144;&#21806;&#21450;&#21033;&#28070;&#21518;&#36827;&#38376;&#24215;&#20998;&#26512;&#20250;&#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利润总额</a:t>
            </a:r>
            <a:endParaRPr altLang="zh-CN"/>
          </a:p>
        </c:rich>
      </c:tx>
      <c:layout>
        <c:manualLayout>
          <c:xMode val="edge"/>
          <c:yMode val="edge"/>
          <c:x val="0.385711314475874"/>
          <c:y val="0.0337093563370936"/>
        </c:manualLayout>
      </c:layout>
      <c:overlay val="0"/>
      <c:spPr>
        <a:noFill/>
        <a:ln>
          <a:noFill/>
        </a:ln>
        <a:effectLst/>
      </c:spPr>
    </c:title>
    <c:autoTitleDeleted val="0"/>
    <c:plotArea>
      <c:layout/>
      <c:lineChart>
        <c:grouping val="standard"/>
        <c:varyColors val="0"/>
        <c:ser>
          <c:idx val="0"/>
          <c:order val="0"/>
          <c:tx>
            <c:strRef>
              <c:f>[销售及利润后进门店分析会数据.xls]西北片区利润!$A$3:$B$3</c:f>
              <c:strCache>
                <c:ptCount val="1"/>
                <c:pt idx="0">
                  <c:v>347 清江东路2店（原送仙桥店）</c:v>
                </c:pt>
              </c:strCache>
            </c:strRef>
          </c:tx>
          <c:spPr>
            <a:ln w="28575" cap="rnd">
              <a:solidFill>
                <a:schemeClr val="accent1"/>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[销售及利润后进门店分析会数据.xls]西北片区利润!$C$3:$E$3</c:f>
              <c:numCache>
                <c:formatCode>0.00_ ;[Red]\-0.00\ </c:formatCode>
                <c:ptCount val="3"/>
                <c:pt idx="0">
                  <c:v>3436.13</c:v>
                </c:pt>
                <c:pt idx="1">
                  <c:v>-36382.1099999998</c:v>
                </c:pt>
                <c:pt idx="2">
                  <c:v>-39818.2399999998</c:v>
                </c:pt>
              </c:numCache>
            </c:numRef>
          </c:val>
          <c:smooth val="0"/>
        </c:ser>
        <c:ser>
          <c:idx val="1"/>
          <c:order val="1"/>
          <c:tx>
            <c:strRef>
              <c:f>[销售及利润后进门店分析会数据.xls]西北片区利润!$A$4:$B$4</c:f>
              <c:strCache>
                <c:ptCount val="1"/>
                <c:pt idx="0">
                  <c:v>570 四川太极青羊区浣花滨河路药店</c:v>
                </c:pt>
              </c:strCache>
            </c:strRef>
          </c:tx>
          <c:spPr>
            <a:ln w="28575" cap="rnd">
              <a:solidFill>
                <a:schemeClr val="accent2"/>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[销售及利润后进门店分析会数据.xls]西北片区利润!$C$4:$E$4</c:f>
              <c:numCache>
                <c:formatCode>0.00_ ;[Red]\-0.00\ </c:formatCode>
                <c:ptCount val="3"/>
                <c:pt idx="0">
                  <c:v>7210.67000000004</c:v>
                </c:pt>
                <c:pt idx="1">
                  <c:v>-1555.94999999984</c:v>
                </c:pt>
                <c:pt idx="2">
                  <c:v>-8766.61999999988</c:v>
                </c:pt>
              </c:numCache>
            </c:numRef>
          </c:val>
          <c:smooth val="0"/>
        </c:ser>
        <c:ser>
          <c:idx val="2"/>
          <c:order val="2"/>
          <c:tx>
            <c:strRef>
              <c:f>[销售及利润后进门店分析会数据.xls]西北片区利润!$A$5:$B$5</c:f>
              <c:strCache>
                <c:ptCount val="1"/>
                <c:pt idx="0">
                  <c:v>741 四川太极成华区新怡路店（原双建路店）</c:v>
                </c:pt>
              </c:strCache>
            </c:strRef>
          </c:tx>
          <c:spPr>
            <a:ln w="28575" cap="rnd">
              <a:solidFill>
                <a:schemeClr val="accent3"/>
              </a:solidFill>
              <a:round/>
            </a:ln>
            <a:effectLst/>
          </c:spPr>
          <c:marker>
            <c:symbol val="none"/>
          </c:marker>
          <c:dLbls>
            <c:delete val="1"/>
          </c:dLbls>
          <c:cat>
            <c:multiLvlStrRef>
              <c:f>[销售及利润后进门店分析会数据.xls]西北片区利润!$C$1:$E$2</c:f>
              <c:multiLvlStrCache>
                <c:ptCount val="3"/>
                <c:lvl>
                  <c:pt idx="0" c:formatCode="0.00_ ;[Red]\-0.00\ ">
                    <c:v>2016.01-11</c:v>
                  </c:pt>
                  <c:pt idx="1" c:formatCode="0.00_ ;[Red]\-0.00\ ">
                    <c:v>2017.01-11</c:v>
                  </c:pt>
                  <c:pt idx="2">
                    <c:v>增减额</c:v>
                  </c:pt>
                </c:lvl>
                <c:lvl>
                  <c:pt idx="0" c:formatCode="0.00_ ;[Red]\-0.00\ ">
                    <c:v>利润总额</c:v>
                  </c:pt>
                </c:lvl>
              </c:multiLvlStrCache>
            </c:multiLvlStrRef>
          </c:cat>
          <c:val>
            <c:numRef>
              <c:f>[销售及利润后进门店分析会数据.xls]西北片区利润!$C$5:$E$5</c:f>
              <c:numCache>
                <c:formatCode>0.00_ ;[Red]\-0.00\ </c:formatCode>
                <c:ptCount val="3"/>
                <c:pt idx="0">
                  <c:v>-123817.61</c:v>
                </c:pt>
                <c:pt idx="1">
                  <c:v>-85779.2</c:v>
                </c:pt>
                <c:pt idx="2">
                  <c:v>38038.41</c:v>
                </c:pt>
              </c:numCache>
            </c:numRef>
          </c:val>
          <c:smooth val="0"/>
        </c:ser>
        <c:dLbls>
          <c:showLegendKey val="0"/>
          <c:showVal val="0"/>
          <c:showCatName val="0"/>
          <c:showSerName val="0"/>
          <c:showPercent val="0"/>
          <c:showBubbleSize val="0"/>
        </c:dLbls>
        <c:marker val="0"/>
        <c:smooth val="0"/>
        <c:axId val="230563893"/>
        <c:axId val="193277828"/>
      </c:lineChart>
      <c:catAx>
        <c:axId val="2305638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277828"/>
        <c:crosses val="autoZero"/>
        <c:auto val="1"/>
        <c:lblAlgn val="ctr"/>
        <c:lblOffset val="100"/>
        <c:noMultiLvlLbl val="0"/>
      </c:catAx>
      <c:valAx>
        <c:axId val="193277828"/>
        <c:scaling>
          <c:orientation val="minMax"/>
        </c:scaling>
        <c:delete val="0"/>
        <c:axPos val="l"/>
        <c:majorGridlines>
          <c:spPr>
            <a:ln w="9525" cap="flat" cmpd="sng" algn="ctr">
              <a:solidFill>
                <a:schemeClr val="tx1">
                  <a:lumMod val="15000"/>
                  <a:lumOff val="85000"/>
                </a:schemeClr>
              </a:solidFill>
              <a:round/>
            </a:ln>
            <a:effectLst/>
          </c:spPr>
        </c:majorGridlines>
        <c:numFmt formatCode="0.00_ ;[Red]\-0.00\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5638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销售收入</a:t>
            </a:r>
            <a:endParaRPr altLang="zh-CN"/>
          </a:p>
        </c:rich>
      </c:tx>
      <c:layout/>
      <c:overlay val="0"/>
      <c:spPr>
        <a:noFill/>
        <a:ln>
          <a:noFill/>
        </a:ln>
        <a:effectLst/>
      </c:spPr>
    </c:title>
    <c:autoTitleDeleted val="0"/>
    <c:plotArea>
      <c:layout/>
      <c:lineChart>
        <c:grouping val="standard"/>
        <c:varyColors val="0"/>
        <c:ser>
          <c:idx val="0"/>
          <c:order val="0"/>
          <c:tx>
            <c:strRef>
              <c:f>[销售及利润后进门店分析会数据.xls]西北片区销售!$A$3:$B$3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[销售及利润后进门店分析会数据.xls]西北片区销售!$C$3:$E$3</c:f>
              <c:numCache>
                <c:formatCode>General</c:formatCode>
                <c:ptCount val="3"/>
                <c:pt idx="0">
                  <c:v>74975.46</c:v>
                </c:pt>
                <c:pt idx="1">
                  <c:v>1435848.91</c:v>
                </c:pt>
                <c:pt idx="2" c:formatCode="0.00_ ;[Red]\-0.00\ ">
                  <c:v>1360873.45</c:v>
                </c:pt>
              </c:numCache>
            </c:numRef>
          </c:val>
          <c:smooth val="0"/>
        </c:ser>
        <c:ser>
          <c:idx val="1"/>
          <c:order val="1"/>
          <c:tx>
            <c:strRef>
              <c:f>[销售及利润后进门店分析会数据.xls]西北片区销售!$A$4:$B$4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[销售及利润后进门店分析会数据.xls]西北片区销售!$C$4:$E$4</c:f>
              <c:numCache>
                <c:formatCode>General</c:formatCode>
                <c:ptCount val="3"/>
                <c:pt idx="0">
                  <c:v>1225008.87</c:v>
                </c:pt>
                <c:pt idx="1">
                  <c:v>1242363.66</c:v>
                </c:pt>
                <c:pt idx="2" c:formatCode="0.00_ ;[Red]\-0.00\ ">
                  <c:v>17354.7899999998</c:v>
                </c:pt>
              </c:numCache>
            </c:numRef>
          </c:val>
          <c:smooth val="0"/>
        </c:ser>
        <c:ser>
          <c:idx val="2"/>
          <c:order val="2"/>
          <c:tx>
            <c:strRef>
              <c:f>[销售及利润后进门店分析会数据.xls]西北片区销售!$A$5:$B$5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[销售及利润后进门店分析会数据.xls]西北片区销售!$C$1:$E$2</c:f>
              <c:multiLvlStrCache>
                <c:ptCount val="3"/>
                <c:lvl>
                  <c:pt idx="0" c:formatCode="0.00_ ;[Red]\-0.00\ ">
                    <c:v>2016.01-11</c:v>
                  </c:pt>
                  <c:pt idx="1" c:formatCode="0.00_ ;[Red]\-0.00\ ">
                    <c:v>2017.01-11</c:v>
                  </c:pt>
                  <c:pt idx="2" c:formatCode="0.00_ ;[Red]\-0.00\ ">
                    <c:v>增减额</c:v>
                  </c:pt>
                </c:lvl>
                <c:lvl>
                  <c:pt idx="0">
                    <c:v>含税销售收入</c:v>
                  </c:pt>
                </c:lvl>
              </c:multiLvlStrCache>
            </c:multiLvlStrRef>
          </c:cat>
          <c:val>
            <c:numRef>
              <c:f>[销售及利润后进门店分析会数据.xls]西北片区销售!$C$5:$E$5</c:f>
              <c:numCache>
                <c:formatCode>General</c:formatCode>
                <c:ptCount val="3"/>
                <c:pt idx="0">
                  <c:v>851608.04</c:v>
                </c:pt>
                <c:pt idx="1">
                  <c:v>804388.39</c:v>
                </c:pt>
                <c:pt idx="2" c:formatCode="0.00_ ;[Red]\-0.00\ ">
                  <c:v>-47219.65</c:v>
                </c:pt>
              </c:numCache>
            </c:numRef>
          </c:val>
          <c:smooth val="0"/>
        </c:ser>
        <c:dLbls>
          <c:showLegendKey val="0"/>
          <c:showVal val="0"/>
          <c:showCatName val="0"/>
          <c:showSerName val="0"/>
          <c:showPercent val="0"/>
          <c:showBubbleSize val="0"/>
        </c:dLbls>
        <c:marker val="0"/>
        <c:smooth val="0"/>
        <c:axId val="850472869"/>
        <c:axId val="231664410"/>
      </c:lineChart>
      <c:catAx>
        <c:axId val="8504728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64410"/>
        <c:crosses val="autoZero"/>
        <c:auto val="1"/>
        <c:lblAlgn val="ctr"/>
        <c:lblOffset val="100"/>
        <c:noMultiLvlLbl val="0"/>
      </c:catAx>
      <c:valAx>
        <c:axId val="2316644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4728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毛利率</a:t>
            </a:r>
          </a:p>
        </c:rich>
      </c:tx>
      <c:layout/>
      <c:overlay val="0"/>
      <c:spPr>
        <a:noFill/>
        <a:ln>
          <a:noFill/>
        </a:ln>
        <a:effectLst/>
      </c:spPr>
    </c:title>
    <c:autoTitleDeleted val="0"/>
    <c:plotArea>
      <c:layout/>
      <c:lineChart>
        <c:grouping val="standard"/>
        <c:varyColors val="0"/>
        <c:ser>
          <c:idx val="0"/>
          <c:order val="0"/>
          <c:tx>
            <c:strRef>
              <c:f>[销售及利润后进门店分析会数据.xls]Sheet2!$A$3:$B$3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[销售及利润后进门店分析会数据.xls]Sheet2!$C$3:$E$3</c:f>
              <c:numCache>
                <c:formatCode>0.00%</c:formatCode>
                <c:ptCount val="3"/>
                <c:pt idx="0">
                  <c:v>0.303629228592121</c:v>
                </c:pt>
                <c:pt idx="1">
                  <c:v>0.286296157312721</c:v>
                </c:pt>
                <c:pt idx="2">
                  <c:v>-0.0173330712794</c:v>
                </c:pt>
              </c:numCache>
            </c:numRef>
          </c:val>
          <c:smooth val="0"/>
        </c:ser>
        <c:ser>
          <c:idx val="1"/>
          <c:order val="1"/>
          <c:tx>
            <c:strRef>
              <c:f>[销售及利润后进门店分析会数据.xls]Sheet2!$A$4:$B$4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[销售及利润后进门店分析会数据.xls]Sheet2!$C$4:$E$4</c:f>
              <c:numCache>
                <c:formatCode>0.00%</c:formatCode>
                <c:ptCount val="3"/>
                <c:pt idx="0">
                  <c:v>0.360158569176767</c:v>
                </c:pt>
                <c:pt idx="1">
                  <c:v>0.329993759577735</c:v>
                </c:pt>
                <c:pt idx="2">
                  <c:v>-0.0301648095990319</c:v>
                </c:pt>
              </c:numCache>
            </c:numRef>
          </c:val>
          <c:smooth val="0"/>
        </c:ser>
        <c:ser>
          <c:idx val="2"/>
          <c:order val="2"/>
          <c:tx>
            <c:strRef>
              <c:f>[销售及利润后进门店分析会数据.xls]Sheet2!$A$5:$B$5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[销售及利润后进门店分析会数据.xls]Sheet2!$C$1:$E$2</c:f>
              <c:multiLvlStrCache>
                <c:ptCount val="3"/>
                <c:lvl>
                  <c:pt idx="0" c:formatCode="0.00_ ;[Red]\-0.00\ ">
                    <c:v>2016.01-11</c:v>
                  </c:pt>
                  <c:pt idx="1" c:formatCode="0.00_ ;[Red]\-0.00\ ">
                    <c:v>2017.01-11</c:v>
                  </c:pt>
                  <c:pt idx="2" c:formatCode="0.00%">
                    <c:v>增减</c:v>
                  </c:pt>
                </c:lvl>
                <c:lvl>
                  <c:pt idx="0">
                    <c:v>不含税毛利率</c:v>
                  </c:pt>
                </c:lvl>
              </c:multiLvlStrCache>
            </c:multiLvlStrRef>
          </c:cat>
          <c:val>
            <c:numRef>
              <c:f>[销售及利润后进门店分析会数据.xls]Sheet2!$C$5:$E$5</c:f>
              <c:numCache>
                <c:formatCode>0.00%</c:formatCode>
                <c:ptCount val="3"/>
                <c:pt idx="0">
                  <c:v>0.316404257582566</c:v>
                </c:pt>
                <c:pt idx="1">
                  <c:v>0.298828254577531</c:v>
                </c:pt>
                <c:pt idx="2">
                  <c:v>-0.017576003005035</c:v>
                </c:pt>
              </c:numCache>
            </c:numRef>
          </c:val>
          <c:smooth val="0"/>
        </c:ser>
        <c:dLbls>
          <c:showLegendKey val="0"/>
          <c:showVal val="0"/>
          <c:showCatName val="0"/>
          <c:showSerName val="0"/>
          <c:showPercent val="0"/>
          <c:showBubbleSize val="0"/>
        </c:dLbls>
        <c:marker val="0"/>
        <c:smooth val="0"/>
        <c:axId val="317725915"/>
        <c:axId val="205149020"/>
      </c:lineChart>
      <c:catAx>
        <c:axId val="317725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149020"/>
        <c:crosses val="autoZero"/>
        <c:auto val="1"/>
        <c:lblAlgn val="ctr"/>
        <c:lblOffset val="100"/>
        <c:noMultiLvlLbl val="0"/>
      </c:catAx>
      <c:valAx>
        <c:axId val="2051490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725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费用总额</a:t>
            </a:r>
            <a:endParaRPr altLang="zh-CN"/>
          </a:p>
        </c:rich>
      </c:tx>
      <c:layout>
        <c:manualLayout>
          <c:xMode val="edge"/>
          <c:yMode val="edge"/>
          <c:x val="0.430034667507091"/>
          <c:y val="0.0191447736165456"/>
        </c:manualLayout>
      </c:layout>
      <c:overlay val="0"/>
      <c:spPr>
        <a:noFill/>
        <a:ln>
          <a:noFill/>
        </a:ln>
        <a:effectLst/>
      </c:spPr>
    </c:title>
    <c:autoTitleDeleted val="0"/>
    <c:plotArea>
      <c:layout/>
      <c:lineChart>
        <c:grouping val="standard"/>
        <c:varyColors val="0"/>
        <c:ser>
          <c:idx val="0"/>
          <c:order val="0"/>
          <c:tx>
            <c:strRef>
              <c:f>[销售及利润后进门店分析会数据.xls]Sheet3!$A$3:$B$3</c:f>
              <c:strCache>
                <c:ptCount val="1"/>
                <c:pt idx="0">
                  <c:v>347 清江东路2店</c:v>
                </c:pt>
              </c:strCache>
            </c:strRef>
          </c:tx>
          <c:spPr>
            <a:ln w="28575" cap="rnd">
              <a:solidFill>
                <a:schemeClr val="accent1"/>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[销售及利润后进门店分析会数据.xls]Sheet3!$C$3:$F$3</c:f>
              <c:numCache>
                <c:formatCode>General</c:formatCode>
                <c:ptCount val="4"/>
                <c:pt idx="0">
                  <c:v>16138.23</c:v>
                </c:pt>
                <c:pt idx="1">
                  <c:v>391277.58</c:v>
                </c:pt>
                <c:pt idx="2">
                  <c:v>375139.35</c:v>
                </c:pt>
                <c:pt idx="3" c:formatCode="0.00%">
                  <c:v>23.2453837874414</c:v>
                </c:pt>
              </c:numCache>
            </c:numRef>
          </c:val>
          <c:smooth val="0"/>
        </c:ser>
        <c:ser>
          <c:idx val="1"/>
          <c:order val="1"/>
          <c:tx>
            <c:strRef>
              <c:f>[销售及利润后进门店分析会数据.xls]Sheet3!$A$4:$B$4</c:f>
              <c:strCache>
                <c:ptCount val="1"/>
                <c:pt idx="0">
                  <c:v>570 浣花滨河店</c:v>
                </c:pt>
              </c:strCache>
            </c:strRef>
          </c:tx>
          <c:spPr>
            <a:ln w="28575" cap="rnd">
              <a:solidFill>
                <a:schemeClr val="accent2"/>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[销售及利润后进门店分析会数据.xls]Sheet3!$C$4:$F$4</c:f>
              <c:numCache>
                <c:formatCode>General</c:formatCode>
                <c:ptCount val="4"/>
                <c:pt idx="0">
                  <c:v>372544.75</c:v>
                </c:pt>
                <c:pt idx="1">
                  <c:v>354175.9</c:v>
                </c:pt>
                <c:pt idx="2">
                  <c:v>-18368.85</c:v>
                </c:pt>
                <c:pt idx="3" c:formatCode="0.00%">
                  <c:v>-0.0493064256039039</c:v>
                </c:pt>
              </c:numCache>
            </c:numRef>
          </c:val>
          <c:smooth val="0"/>
        </c:ser>
        <c:ser>
          <c:idx val="2"/>
          <c:order val="2"/>
          <c:tx>
            <c:strRef>
              <c:f>[销售及利润后进门店分析会数据.xls]Sheet3!$A$5:$B$5</c:f>
              <c:strCache>
                <c:ptCount val="1"/>
                <c:pt idx="0">
                  <c:v>741 新怡路店）</c:v>
                </c:pt>
              </c:strCache>
            </c:strRef>
          </c:tx>
          <c:spPr>
            <a:ln w="28575" cap="rnd">
              <a:solidFill>
                <a:schemeClr val="accent3"/>
              </a:solidFill>
              <a:round/>
            </a:ln>
            <a:effectLst/>
          </c:spPr>
          <c:marker>
            <c:symbol val="none"/>
          </c:marker>
          <c:dLbls>
            <c:delete val="1"/>
          </c:dLbls>
          <c:cat>
            <c:multiLvlStrRef>
              <c:f>[销售及利润后进门店分析会数据.xls]Sheet3!$C$1:$F$2</c:f>
              <c:multiLvlStrCache>
                <c:ptCount val="4"/>
                <c:lvl>
                  <c:pt idx="0" c:formatCode="0.00_ ;[Red]\-0.00\ ">
                    <c:v>2016.01-11</c:v>
                  </c:pt>
                  <c:pt idx="1" c:formatCode="0.00_ ;[Red]\-0.00\ ">
                    <c:v>2017.01-11</c:v>
                  </c:pt>
                  <c:pt idx="2">
                    <c:v>增减额</c:v>
                  </c:pt>
                  <c:pt idx="3" c:formatCode="0.00%">
                    <c:v>增减率</c:v>
                  </c:pt>
                </c:lvl>
                <c:lvl>
                  <c:pt idx="0">
                    <c:v>费用总额</c:v>
                  </c:pt>
                </c:lvl>
              </c:multiLvlStrCache>
            </c:multiLvlStrRef>
          </c:cat>
          <c:val>
            <c:numRef>
              <c:f>[销售及利润后进门店分析会数据.xls]Sheet3!$C$5:$F$5</c:f>
              <c:numCache>
                <c:formatCode>General</c:formatCode>
                <c:ptCount val="4"/>
                <c:pt idx="0">
                  <c:v>356698.14</c:v>
                </c:pt>
                <c:pt idx="1">
                  <c:v>294580.89</c:v>
                </c:pt>
                <c:pt idx="2">
                  <c:v>-62117.25</c:v>
                </c:pt>
                <c:pt idx="3" c:formatCode="0.00%">
                  <c:v>-0.174145146930119</c:v>
                </c:pt>
              </c:numCache>
            </c:numRef>
          </c:val>
          <c:smooth val="0"/>
        </c:ser>
        <c:dLbls>
          <c:showLegendKey val="0"/>
          <c:showVal val="0"/>
          <c:showCatName val="0"/>
          <c:showSerName val="0"/>
          <c:showPercent val="0"/>
          <c:showBubbleSize val="0"/>
        </c:dLbls>
        <c:marker val="0"/>
        <c:smooth val="0"/>
        <c:axId val="239711305"/>
        <c:axId val="804903580"/>
      </c:lineChart>
      <c:catAx>
        <c:axId val="2397113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903580"/>
        <c:crosses val="autoZero"/>
        <c:auto val="1"/>
        <c:lblAlgn val="ctr"/>
        <c:lblOffset val="100"/>
        <c:noMultiLvlLbl val="0"/>
      </c:catAx>
      <c:valAx>
        <c:axId val="8049035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7113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浣花店销售收入下滑前</a:t>
            </a:r>
            <a:r>
              <a:rPr lang="en-US" altLang="zh-CN"/>
              <a:t>10</a:t>
            </a:r>
            <a:r>
              <a:rPr altLang="en-US"/>
              <a:t>个中类</a:t>
            </a:r>
            <a:endParaRPr altLang="en-US"/>
          </a:p>
        </c:rich>
      </c:tx>
      <c:layout/>
      <c:overlay val="0"/>
      <c:spPr>
        <a:noFill/>
        <a:ln>
          <a:noFill/>
        </a:ln>
        <a:effectLst/>
      </c:spPr>
    </c:title>
    <c:autoTitleDeleted val="0"/>
    <c:plotArea>
      <c:layout/>
      <c:lineChart>
        <c:grouping val="standard"/>
        <c:varyColors val="0"/>
        <c:ser>
          <c:idx val="0"/>
          <c:order val="0"/>
          <c:tx>
            <c:strRef>
              <c:f>[销售及利润后进门店分析会数据.xls]浣花中类销售!$C$1</c:f>
              <c:strCache>
                <c:ptCount val="1"/>
                <c:pt idx="0">
                  <c:v>收入差异</c:v>
                </c:pt>
              </c:strCache>
            </c:strRef>
          </c:tx>
          <c:spPr>
            <a:ln w="28575" cap="rnd">
              <a:solidFill>
                <a:schemeClr val="accent1"/>
              </a:solidFill>
              <a:round/>
            </a:ln>
            <a:effectLst/>
          </c:spPr>
          <c:marker>
            <c:symbol val="none"/>
          </c:marker>
          <c:dLbls>
            <c:delete val="1"/>
          </c:dLbls>
          <c:cat>
            <c:multiLvlStrRef>
              <c:f>[销售及利润后进门店分析会数据.xls]浣花中类销售!$A$2:$B$11</c:f>
              <c:multiLvlStrCache>
                <c:ptCount val="10"/>
                <c:lvl>
                  <c:pt idx="0">
                    <c:v>补充维生素类保健食品</c:v>
                  </c:pt>
                  <c:pt idx="1">
                    <c:v>包装类中药</c:v>
                  </c:pt>
                  <c:pt idx="2">
                    <c:v>滋补营养药</c:v>
                  </c:pt>
                  <c:pt idx="3">
                    <c:v>皮肤病用药</c:v>
                  </c:pt>
                  <c:pt idx="4">
                    <c:v>益生菌类食品</c:v>
                  </c:pt>
                  <c:pt idx="5">
                    <c:v>进口食品</c:v>
                  </c:pt>
                  <c:pt idx="6">
                    <c:v>特殊医学用途配方食品</c:v>
                  </c:pt>
                  <c:pt idx="7">
                    <c:v>计生用品类</c:v>
                  </c:pt>
                  <c:pt idx="8">
                    <c:v>检测器材</c:v>
                  </c:pt>
                  <c:pt idx="9">
                    <c:v>防辐射类保健食品</c:v>
                  </c:pt>
                </c:lvl>
                <c:lvl>
                  <c:pt idx="0">
                    <c:v>302</c:v>
                  </c:pt>
                  <c:pt idx="1">
                    <c:v>206</c:v>
                  </c:pt>
                  <c:pt idx="2">
                    <c:v>118</c:v>
                  </c:pt>
                  <c:pt idx="3">
                    <c:v>123</c:v>
                  </c:pt>
                  <c:pt idx="4">
                    <c:v>812</c:v>
                  </c:pt>
                  <c:pt idx="5">
                    <c:v>808</c:v>
                  </c:pt>
                  <c:pt idx="6">
                    <c:v>801</c:v>
                  </c:pt>
                  <c:pt idx="7">
                    <c:v>407</c:v>
                  </c:pt>
                  <c:pt idx="8">
                    <c:v>402</c:v>
                  </c:pt>
                  <c:pt idx="9">
                    <c:v>321</c:v>
                  </c:pt>
                </c:lvl>
              </c:multiLvlStrCache>
            </c:multiLvlStrRef>
          </c:cat>
          <c:val>
            <c:numRef>
              <c:f>[销售及利润后进门店分析会数据.xls]浣花中类销售!$C$2:$C$11</c:f>
              <c:numCache>
                <c:formatCode>General</c:formatCode>
                <c:ptCount val="10"/>
                <c:pt idx="0">
                  <c:v>-22601.66</c:v>
                </c:pt>
                <c:pt idx="1">
                  <c:v>-19496.94</c:v>
                </c:pt>
                <c:pt idx="2">
                  <c:v>-8626.16</c:v>
                </c:pt>
                <c:pt idx="3">
                  <c:v>-8192.98</c:v>
                </c:pt>
                <c:pt idx="4">
                  <c:v>-4630.73</c:v>
                </c:pt>
                <c:pt idx="5">
                  <c:v>-4591.68</c:v>
                </c:pt>
                <c:pt idx="6">
                  <c:v>-3976.28</c:v>
                </c:pt>
                <c:pt idx="7">
                  <c:v>-2701.99</c:v>
                </c:pt>
                <c:pt idx="8">
                  <c:v>-2222.24</c:v>
                </c:pt>
                <c:pt idx="9">
                  <c:v>-1871.3</c:v>
                </c:pt>
              </c:numCache>
            </c:numRef>
          </c:val>
          <c:smooth val="0"/>
        </c:ser>
        <c:dLbls>
          <c:showLegendKey val="0"/>
          <c:showVal val="0"/>
          <c:showCatName val="0"/>
          <c:showSerName val="0"/>
          <c:showPercent val="0"/>
          <c:showBubbleSize val="0"/>
        </c:dLbls>
        <c:marker val="0"/>
        <c:smooth val="0"/>
        <c:axId val="708580475"/>
        <c:axId val="972191411"/>
      </c:lineChart>
      <c:catAx>
        <c:axId val="7085804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191411"/>
        <c:crosses val="autoZero"/>
        <c:auto val="1"/>
        <c:lblAlgn val="ctr"/>
        <c:lblOffset val="100"/>
        <c:noMultiLvlLbl val="0"/>
      </c:catAx>
      <c:valAx>
        <c:axId val="9721914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5804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浣花滨河店</a:t>
            </a:r>
          </a:p>
        </c:rich>
      </c:tx>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[销售及利润后进门店分析会数据.xls]Sheet2!$B$1:$AN$1</c:f>
              <c:numCache>
                <c:formatCode>0_ </c:formatCode>
                <c:ptCount val="39"/>
                <c:pt idx="0" c:formatCode="0_ ">
                  <c:v>2016</c:v>
                </c:pt>
                <c:pt idx="6" c:formatCode="0_ ">
                  <c:v>2017</c:v>
                </c:pt>
              </c:numCache>
            </c:numRef>
          </c:cat>
          <c:val>
            <c:numRef>
              <c:f>[销售及利润后进门店分析会数据.xls]Sheet2!$B$2:$AN$2</c:f>
              <c:numCache>
                <c:formatCode>0_ </c:formatCode>
                <c:ptCount val="39"/>
                <c:pt idx="0">
                  <c:v>0</c:v>
                </c:pt>
                <c:pt idx="1">
                  <c:v>0</c:v>
                </c:pt>
                <c:pt idx="2">
                  <c:v>0</c:v>
                </c:pt>
                <c:pt idx="3" c:formatCode="General">
                  <c:v>0</c:v>
                </c:pt>
                <c:pt idx="4">
                  <c:v>0</c:v>
                </c:pt>
                <c:pt idx="5" c:formatCode="General">
                  <c:v>0</c:v>
                </c:pt>
                <c:pt idx="6">
                  <c:v>0</c:v>
                </c:pt>
                <c:pt idx="7">
                  <c:v>0</c:v>
                </c:pt>
                <c:pt idx="8">
                  <c:v>0</c:v>
                </c:pt>
                <c:pt idx="9" c:formatCode="General">
                  <c:v>0</c:v>
                </c:pt>
                <c:pt idx="10">
                  <c:v>0</c:v>
                </c:pt>
                <c:pt idx="11" c:formatCode="General">
                  <c:v>0</c:v>
                </c:pt>
              </c:numCache>
            </c:numRef>
          </c:val>
          <c:smooth val="0"/>
        </c:ser>
        <c:ser>
          <c:idx val="1"/>
          <c:order val="1"/>
          <c:tx>
            <c:strRef>
              <c:f>[销售及利润后进门店分析会数据.xls]Sheet2!$A$3</c:f>
              <c:strCache>
                <c:ptCount val="1"/>
                <c:pt idx="0">
                  <c:v>浣花滨河店</c:v>
                </c:pt>
              </c:strCache>
            </c:strRef>
          </c:tx>
          <c:spPr>
            <a:ln w="28575" cap="rnd">
              <a:solidFill>
                <a:schemeClr val="accent2"/>
              </a:solidFill>
              <a:round/>
            </a:ln>
            <a:effectLst/>
          </c:spPr>
          <c:marker>
            <c:symbol val="none"/>
          </c:marker>
          <c:dLbls>
            <c:delete val="1"/>
          </c:dLbls>
          <c:cat>
            <c:numRef>
              <c:f>[销售及利润后进门店分析会数据.xls]Sheet2!$B$1:$AN$1</c:f>
              <c:numCache>
                <c:formatCode>0_ </c:formatCode>
                <c:ptCount val="39"/>
                <c:pt idx="0" c:formatCode="0_ ">
                  <c:v>2016</c:v>
                </c:pt>
                <c:pt idx="6" c:formatCode="0_ ">
                  <c:v>2017</c:v>
                </c:pt>
              </c:numCache>
            </c:numRef>
          </c:cat>
          <c:val>
            <c:numRef>
              <c:f>[销售及利润后进门店分析会数据.xls]Sheet2!$B$3:$AN$3</c:f>
              <c:numCache>
                <c:formatCode>0_ </c:formatCode>
                <c:ptCount val="39"/>
                <c:pt idx="0">
                  <c:v>53395.9042</c:v>
                </c:pt>
                <c:pt idx="1">
                  <c:v>1243476.01</c:v>
                </c:pt>
                <c:pt idx="2">
                  <c:v>438444.460000004</c:v>
                </c:pt>
                <c:pt idx="3" c:formatCode="General">
                  <c:v>21383</c:v>
                </c:pt>
                <c:pt idx="4">
                  <c:v>58.1525515596504</c:v>
                </c:pt>
                <c:pt idx="5" c:formatCode="General">
                  <c:v>12875</c:v>
                </c:pt>
                <c:pt idx="6">
                  <c:v>55618.3955</c:v>
                </c:pt>
                <c:pt idx="7">
                  <c:v>1263045.29</c:v>
                </c:pt>
                <c:pt idx="8">
                  <c:v>398146.580000002</c:v>
                </c:pt>
                <c:pt idx="9" c:formatCode="General">
                  <c:v>23905</c:v>
                </c:pt>
                <c:pt idx="10">
                  <c:v>52.8360297008994</c:v>
                </c:pt>
                <c:pt idx="11" c:formatCode="General">
                  <c:v>13865</c:v>
                </c:pt>
              </c:numCache>
            </c:numRef>
          </c:val>
          <c:smooth val="0"/>
        </c:ser>
        <c:dLbls>
          <c:showLegendKey val="0"/>
          <c:showVal val="0"/>
          <c:showCatName val="0"/>
          <c:showSerName val="0"/>
          <c:showPercent val="0"/>
          <c:showBubbleSize val="0"/>
        </c:dLbls>
        <c:marker val="0"/>
        <c:smooth val="0"/>
        <c:axId val="578057145"/>
        <c:axId val="398325484"/>
      </c:lineChart>
      <c:catAx>
        <c:axId val="578057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325484"/>
        <c:crosses val="autoZero"/>
        <c:auto val="1"/>
        <c:lblAlgn val="ctr"/>
        <c:lblOffset val="100"/>
        <c:noMultiLvlLbl val="0"/>
      </c:catAx>
      <c:valAx>
        <c:axId val="398325484"/>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7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a:t>清江东路</a:t>
            </a:r>
            <a:r>
              <a:rPr lang="en-US" altLang="zh-CN"/>
              <a:t>2</a:t>
            </a:r>
            <a:r>
              <a:rPr altLang="en-US"/>
              <a:t>店</a:t>
            </a:r>
            <a:endParaRPr altLang="en-US"/>
          </a:p>
        </c:rich>
      </c:tx>
      <c:layout>
        <c:manualLayout>
          <c:xMode val="edge"/>
          <c:yMode val="edge"/>
          <c:x val="0.445344273992151"/>
          <c:y val="0.0195567144719687"/>
        </c:manualLayout>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[销售及利润后进门店分析会数据.xls]Sheet2!$B$1:$N$1</c:f>
              <c:numCache>
                <c:formatCode>0_ </c:formatCode>
                <c:ptCount val="13"/>
                <c:pt idx="0" c:formatCode="0_ ">
                  <c:v>2016</c:v>
                </c:pt>
                <c:pt idx="7" c:formatCode="0_ ">
                  <c:v>2017</c:v>
                </c:pt>
              </c:numCache>
            </c:numRef>
          </c:cat>
          <c:val>
            <c:numRef>
              <c:f>[销售及利润后进门店分析会数据.xls]Sheet2!$B$2:$N$2</c:f>
              <c:numCache>
                <c:formatCode>0_ </c:formatCode>
                <c:ptCount val="13"/>
                <c:pt idx="0">
                  <c:v>0</c:v>
                </c:pt>
                <c:pt idx="1">
                  <c:v>0</c:v>
                </c:pt>
                <c:pt idx="2">
                  <c:v>0</c:v>
                </c:pt>
                <c:pt idx="3">
                  <c:v>0</c:v>
                </c:pt>
                <c:pt idx="4" c:formatCode="General">
                  <c:v>0</c:v>
                </c:pt>
                <c:pt idx="5">
                  <c:v>0</c:v>
                </c:pt>
                <c:pt idx="6" c:formatCode="General">
                  <c:v>0</c:v>
                </c:pt>
                <c:pt idx="7">
                  <c:v>0</c:v>
                </c:pt>
                <c:pt idx="8">
                  <c:v>0</c:v>
                </c:pt>
                <c:pt idx="9">
                  <c:v>0</c:v>
                </c:pt>
                <c:pt idx="10">
                  <c:v>0</c:v>
                </c:pt>
                <c:pt idx="11" c:formatCode="General">
                  <c:v>0</c:v>
                </c:pt>
                <c:pt idx="12">
                  <c:v>0</c:v>
                </c:pt>
              </c:numCache>
            </c:numRef>
          </c:val>
          <c:smooth val="0"/>
        </c:ser>
        <c:ser>
          <c:idx val="1"/>
          <c:order val="1"/>
          <c:tx>
            <c:strRef>
              <c:f>[销售及利润后进门店分析会数据.xls]Sheet2!$A$3</c:f>
              <c:strCache>
                <c:ptCount val="1"/>
                <c:pt idx="0">
                  <c:v>清江东路2店</c:v>
                </c:pt>
              </c:strCache>
            </c:strRef>
          </c:tx>
          <c:spPr>
            <a:ln w="28575" cap="rnd">
              <a:solidFill>
                <a:schemeClr val="accent2"/>
              </a:solidFill>
              <a:round/>
            </a:ln>
            <a:effectLst/>
          </c:spPr>
          <c:marker>
            <c:symbol val="none"/>
          </c:marker>
          <c:dLbls>
            <c:delete val="1"/>
          </c:dLbls>
          <c:cat>
            <c:numRef>
              <c:f>[销售及利润后进门店分析会数据.xls]Sheet2!$B$1:$N$1</c:f>
              <c:numCache>
                <c:formatCode>0_ </c:formatCode>
                <c:ptCount val="13"/>
                <c:pt idx="0" c:formatCode="0_ ">
                  <c:v>2016</c:v>
                </c:pt>
                <c:pt idx="7" c:formatCode="0_ ">
                  <c:v>2017</c:v>
                </c:pt>
              </c:numCache>
            </c:numRef>
          </c:cat>
          <c:val>
            <c:numRef>
              <c:f>[销售及利润后进门店分析会数据.xls]Sheet2!$B$3:$N$3</c:f>
              <c:numCache>
                <c:formatCode>General</c:formatCode>
                <c:ptCount val="13"/>
                <c:pt idx="0">
                  <c:v>7581.0445</c:v>
                </c:pt>
                <c:pt idx="1">
                  <c:v>138285.57</c:v>
                </c:pt>
                <c:pt idx="2">
                  <c:v>36710.0400000003</c:v>
                </c:pt>
                <c:pt idx="3">
                  <c:v>56.1560816878999</c:v>
                </c:pt>
                <c:pt idx="4">
                  <c:v>2091</c:v>
                </c:pt>
                <c:pt idx="5">
                  <c:v>66.1337015781923</c:v>
                </c:pt>
                <c:pt idx="6">
                  <c:v>1692</c:v>
                </c:pt>
                <c:pt idx="7">
                  <c:v>69392.7001</c:v>
                </c:pt>
                <c:pt idx="8">
                  <c:v>1456276.92</c:v>
                </c:pt>
                <c:pt idx="9">
                  <c:v>408032.160000003</c:v>
                </c:pt>
                <c:pt idx="10">
                  <c:v>308.047659200668</c:v>
                </c:pt>
                <c:pt idx="11">
                  <c:v>24368</c:v>
                </c:pt>
                <c:pt idx="12">
                  <c:v>59.7618565331583</c:v>
                </c:pt>
              </c:numCache>
            </c:numRef>
          </c:val>
          <c:smooth val="0"/>
        </c:ser>
        <c:dLbls>
          <c:showLegendKey val="0"/>
          <c:showVal val="0"/>
          <c:showCatName val="0"/>
          <c:showSerName val="0"/>
          <c:showPercent val="0"/>
          <c:showBubbleSize val="0"/>
        </c:dLbls>
        <c:marker val="0"/>
        <c:smooth val="0"/>
        <c:axId val="916586743"/>
        <c:axId val="508451005"/>
      </c:lineChart>
      <c:catAx>
        <c:axId val="9165867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8451005"/>
        <c:crosses val="autoZero"/>
        <c:auto val="1"/>
        <c:lblAlgn val="ctr"/>
        <c:lblOffset val="100"/>
        <c:noMultiLvlLbl val="0"/>
      </c:catAx>
      <c:valAx>
        <c:axId val="508451005"/>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5867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新怡店销售收入下滑前10个中类</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lineChart>
        <c:grouping val="standard"/>
        <c:varyColors val="0"/>
        <c:ser>
          <c:idx val="0"/>
          <c:order val="0"/>
          <c:tx>
            <c:strRef>
              <c:f>[销售及利润后进门店分析会数据.xls]新怡中类销售!$C$1</c:f>
              <c:strCache>
                <c:ptCount val="1"/>
                <c:pt idx="0">
                  <c:v>差异</c:v>
                </c:pt>
              </c:strCache>
            </c:strRef>
          </c:tx>
          <c:spPr>
            <a:ln w="28575" cap="rnd">
              <a:solidFill>
                <a:schemeClr val="accent1"/>
              </a:solidFill>
              <a:round/>
            </a:ln>
            <a:effectLst/>
          </c:spPr>
          <c:marker>
            <c:symbol val="none"/>
          </c:marker>
          <c:dLbls>
            <c:delete val="1"/>
          </c:dLbls>
          <c:cat>
            <c:multiLvlStrRef>
              <c:f>[销售及利润后进门店分析会数据.xls]新怡中类销售!$A$2:$B$11</c:f>
              <c:multiLvlStrCache>
                <c:ptCount val="10"/>
                <c:lvl>
                  <c:pt idx="0">
                    <c:v>泌尿生殖系统药</c:v>
                  </c:pt>
                  <c:pt idx="1">
                    <c:v>包装类中药</c:v>
                  </c:pt>
                  <c:pt idx="2">
                    <c:v>贵细中药材</c:v>
                  </c:pt>
                  <c:pt idx="3">
                    <c:v>补充维生素类保健食品</c:v>
                  </c:pt>
                  <c:pt idx="4">
                    <c:v>滋补营养药</c:v>
                  </c:pt>
                  <c:pt idx="5">
                    <c:v>特殊医学用途配方食品</c:v>
                  </c:pt>
                  <c:pt idx="6">
                    <c:v>减肥用药</c:v>
                  </c:pt>
                  <c:pt idx="7">
                    <c:v>进口食品</c:v>
                  </c:pt>
                  <c:pt idx="8">
                    <c:v>抗感染药</c:v>
                  </c:pt>
                  <c:pt idx="9">
                    <c:v>皮肤病用药</c:v>
                  </c:pt>
                </c:lvl>
                <c:lvl>
                  <c:pt idx="0">
                    <c:v>110</c:v>
                  </c:pt>
                  <c:pt idx="1">
                    <c:v>206</c:v>
                  </c:pt>
                  <c:pt idx="2">
                    <c:v>205</c:v>
                  </c:pt>
                  <c:pt idx="3">
                    <c:v>302</c:v>
                  </c:pt>
                  <c:pt idx="4">
                    <c:v>118</c:v>
                  </c:pt>
                  <c:pt idx="5">
                    <c:v>801</c:v>
                  </c:pt>
                  <c:pt idx="6">
                    <c:v>124</c:v>
                  </c:pt>
                  <c:pt idx="7">
                    <c:v>808</c:v>
                  </c:pt>
                  <c:pt idx="8">
                    <c:v>101</c:v>
                  </c:pt>
                  <c:pt idx="9">
                    <c:v>123</c:v>
                  </c:pt>
                </c:lvl>
              </c:multiLvlStrCache>
            </c:multiLvlStrRef>
          </c:cat>
          <c:val>
            <c:numRef>
              <c:f>[销售及利润后进门店分析会数据.xls]新怡中类销售!$C$2:$C$11</c:f>
              <c:numCache>
                <c:formatCode>General</c:formatCode>
                <c:ptCount val="10"/>
                <c:pt idx="0">
                  <c:v>-16433.29</c:v>
                </c:pt>
                <c:pt idx="1">
                  <c:v>-15008.23</c:v>
                </c:pt>
                <c:pt idx="2">
                  <c:v>-12514.92</c:v>
                </c:pt>
                <c:pt idx="3">
                  <c:v>-11882.34</c:v>
                </c:pt>
                <c:pt idx="4">
                  <c:v>-11669.02</c:v>
                </c:pt>
                <c:pt idx="5">
                  <c:v>-9742.18</c:v>
                </c:pt>
                <c:pt idx="6">
                  <c:v>-7597.9</c:v>
                </c:pt>
                <c:pt idx="7">
                  <c:v>-7097.08</c:v>
                </c:pt>
                <c:pt idx="8">
                  <c:v>-5817.63</c:v>
                </c:pt>
                <c:pt idx="9">
                  <c:v>-4210.86</c:v>
                </c:pt>
              </c:numCache>
            </c:numRef>
          </c:val>
          <c:smooth val="0"/>
        </c:ser>
        <c:dLbls>
          <c:showLegendKey val="0"/>
          <c:showVal val="0"/>
          <c:showCatName val="0"/>
          <c:showSerName val="0"/>
          <c:showPercent val="0"/>
          <c:showBubbleSize val="0"/>
        </c:dLbls>
        <c:marker val="0"/>
        <c:smooth val="0"/>
        <c:axId val="978717013"/>
        <c:axId val="687669425"/>
      </c:lineChart>
      <c:catAx>
        <c:axId val="9787170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669425"/>
        <c:crosses val="autoZero"/>
        <c:auto val="1"/>
        <c:lblAlgn val="ctr"/>
        <c:lblOffset val="100"/>
        <c:noMultiLvlLbl val="0"/>
      </c:catAx>
      <c:valAx>
        <c:axId val="6876694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8717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新怡店</a:t>
            </a:r>
          </a:p>
        </c:rich>
      </c:tx>
      <c:layout/>
      <c:overlay val="0"/>
      <c:spPr>
        <a:noFill/>
        <a:ln>
          <a:noFill/>
        </a:ln>
        <a:effectLst/>
      </c:spPr>
    </c:title>
    <c:autoTitleDeleted val="0"/>
    <c:plotArea>
      <c:layout/>
      <c:lineChart>
        <c:grouping val="standard"/>
        <c:varyColors val="0"/>
        <c:ser>
          <c:idx val="0"/>
          <c:order val="0"/>
          <c:tx>
            <c:strRef>
              <c:f>[销售及利润后进门店分析会数据.xls]Sheet2!$A$2</c:f>
              <c:strCache>
                <c:ptCount val="1"/>
                <c:pt idx="0">
                  <c:v>门店ID</c:v>
                </c:pt>
              </c:strCache>
            </c:strRef>
          </c:tx>
          <c:spPr>
            <a:ln w="28575" cap="rnd">
              <a:solidFill>
                <a:schemeClr val="accent1"/>
              </a:solidFill>
              <a:round/>
            </a:ln>
            <a:effectLst/>
          </c:spPr>
          <c:marker>
            <c:symbol val="none"/>
          </c:marker>
          <c:dLbls>
            <c:delete val="1"/>
          </c:dLbls>
          <c:cat>
            <c:numRef>
              <c:f>[销售及利润后进门店分析会数据.xls]Sheet2!$B$1:$M$1</c:f>
              <c:numCache>
                <c:formatCode>0_ </c:formatCode>
                <c:ptCount val="12"/>
                <c:pt idx="0" c:formatCode="0_ ">
                  <c:v>2016</c:v>
                </c:pt>
                <c:pt idx="6" c:formatCode="0_ ">
                  <c:v>2017</c:v>
                </c:pt>
              </c:numCache>
            </c:numRef>
          </c:cat>
          <c:val>
            <c:numRef>
              <c:f>[销售及利润后进门店分析会数据.xls]Sheet2!$B$2:$M$2</c:f>
              <c:numCache>
                <c:formatCode>0_ </c:formatCode>
                <c:ptCount val="12"/>
                <c:pt idx="0">
                  <c:v>0</c:v>
                </c:pt>
                <c:pt idx="1">
                  <c:v>0</c:v>
                </c:pt>
                <c:pt idx="2">
                  <c:v>0</c:v>
                </c:pt>
                <c:pt idx="3" c:formatCode="General">
                  <c:v>0</c:v>
                </c:pt>
                <c:pt idx="4">
                  <c:v>0</c:v>
                </c:pt>
                <c:pt idx="5" c:formatCode="General">
                  <c:v>0</c:v>
                </c:pt>
                <c:pt idx="6">
                  <c:v>0</c:v>
                </c:pt>
                <c:pt idx="7">
                  <c:v>0</c:v>
                </c:pt>
                <c:pt idx="8">
                  <c:v>0</c:v>
                </c:pt>
                <c:pt idx="9" c:formatCode="General">
                  <c:v>0</c:v>
                </c:pt>
                <c:pt idx="10">
                  <c:v>0</c:v>
                </c:pt>
                <c:pt idx="11" c:formatCode="General">
                  <c:v>0</c:v>
                </c:pt>
              </c:numCache>
            </c:numRef>
          </c:val>
          <c:smooth val="0"/>
        </c:ser>
        <c:ser>
          <c:idx val="1"/>
          <c:order val="1"/>
          <c:tx>
            <c:strRef>
              <c:f>[销售及利润后进门店分析会数据.xls]Sheet2!$A$3</c:f>
              <c:strCache>
                <c:ptCount val="1"/>
                <c:pt idx="0">
                  <c:v>新怡店</c:v>
                </c:pt>
              </c:strCache>
            </c:strRef>
          </c:tx>
          <c:spPr>
            <a:ln w="28575" cap="rnd">
              <a:solidFill>
                <a:schemeClr val="accent2"/>
              </a:solidFill>
              <a:round/>
            </a:ln>
            <a:effectLst/>
          </c:spPr>
          <c:marker>
            <c:symbol val="none"/>
          </c:marker>
          <c:dLbls>
            <c:delete val="1"/>
          </c:dLbls>
          <c:cat>
            <c:numRef>
              <c:f>[销售及利润后进门店分析会数据.xls]Sheet2!$B$1:$M$1</c:f>
              <c:numCache>
                <c:formatCode>0_ </c:formatCode>
                <c:ptCount val="12"/>
                <c:pt idx="0" c:formatCode="0_ ">
                  <c:v>2016</c:v>
                </c:pt>
                <c:pt idx="6" c:formatCode="0_ ">
                  <c:v>2017</c:v>
                </c:pt>
              </c:numCache>
            </c:numRef>
          </c:cat>
          <c:val>
            <c:numRef>
              <c:f>[销售及利润后进门店分析会数据.xls]Sheet2!$B$3:$M$3</c:f>
              <c:numCache>
                <c:formatCode>0_ </c:formatCode>
                <c:ptCount val="12"/>
                <c:pt idx="0">
                  <c:v>32540.9539</c:v>
                </c:pt>
                <c:pt idx="1">
                  <c:v>869372.650000001</c:v>
                </c:pt>
                <c:pt idx="2">
                  <c:v>269270.790000001</c:v>
                </c:pt>
                <c:pt idx="3" c:formatCode="General">
                  <c:v>10747</c:v>
                </c:pt>
                <c:pt idx="4">
                  <c:v>80.8944496138458</c:v>
                </c:pt>
                <c:pt idx="5" c:formatCode="General">
                  <c:v>10319</c:v>
                </c:pt>
                <c:pt idx="6">
                  <c:v>32560.6205</c:v>
                </c:pt>
                <c:pt idx="7">
                  <c:v>815794.25</c:v>
                </c:pt>
                <c:pt idx="8">
                  <c:v>238458.12</c:v>
                </c:pt>
                <c:pt idx="9" c:formatCode="General">
                  <c:v>14247</c:v>
                </c:pt>
                <c:pt idx="10">
                  <c:v>57.2607741980768</c:v>
                </c:pt>
                <c:pt idx="11" c:formatCode="General">
                  <c:v>10602</c:v>
                </c:pt>
              </c:numCache>
            </c:numRef>
          </c:val>
          <c:smooth val="0"/>
        </c:ser>
        <c:dLbls>
          <c:showLegendKey val="0"/>
          <c:showVal val="0"/>
          <c:showCatName val="0"/>
          <c:showSerName val="0"/>
          <c:showPercent val="0"/>
          <c:showBubbleSize val="0"/>
        </c:dLbls>
        <c:marker val="0"/>
        <c:smooth val="0"/>
        <c:axId val="674197217"/>
        <c:axId val="674194049"/>
      </c:lineChart>
      <c:catAx>
        <c:axId val="6741972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194049"/>
        <c:crosses val="autoZero"/>
        <c:auto val="1"/>
        <c:lblAlgn val="ctr"/>
        <c:lblOffset val="100"/>
        <c:noMultiLvlLbl val="0"/>
      </c:catAx>
      <c:valAx>
        <c:axId val="674194049"/>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41972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2017-12-11T14:47:07Z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