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武侯区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永顺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276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150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7.2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20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80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和房东协商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u w:val="none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年、□半年、□季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学校幼儿园、□医院</w:t>
            </w: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6" o:spt="75" type="#_x0000_t75" style="height:17pt;width:72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15828622218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清江2店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   年  11    月    5日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CC7418A"/>
    <w:rsid w:val="139867B3"/>
    <w:rsid w:val="2340073B"/>
    <w:rsid w:val="27651848"/>
    <w:rsid w:val="338A1382"/>
    <w:rsid w:val="36F67151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9307F30"/>
    <w:rsid w:val="6E2C75FD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2017-11-05T09:32:20Z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