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龙泉驿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金桉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100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170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4.0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20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150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第三年递增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u w:val="none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学校幼儿园、□医院</w:t>
            </w: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6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13541362323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tabs>
                <w:tab w:val="left" w:pos="911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ab/>
              <w:t>附近有两个药房一个钦顺堂一个私营贝尔康，小区入住率较高，铺面正对小区大门。房东说如果能整个租下来就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/月/M2.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清江2店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袁巧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   年  11    月    9日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CC7418A"/>
    <w:rsid w:val="139867B3"/>
    <w:rsid w:val="2340073B"/>
    <w:rsid w:val="27651848"/>
    <w:rsid w:val="338A1382"/>
    <w:rsid w:val="36F67151"/>
    <w:rsid w:val="3F812495"/>
    <w:rsid w:val="47ED214B"/>
    <w:rsid w:val="488D0662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9307F30"/>
    <w:rsid w:val="6E2C75FD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cp:lastPrinted>2017-11-09T11:21:47Z</cp:lastPrinted>
  <dcterms:modified xsi:type="dcterms:W3CDTF">2017-11-09T11:37:38Z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