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eastAsia"/>
          <w:lang w:eastAsia="zh-CN"/>
        </w:rPr>
      </w:pPr>
      <w:r>
        <w:rPr>
          <w:rFonts w:hint="eastAsia"/>
          <w:lang w:eastAsia="zh-CN"/>
        </w:rPr>
        <w:t>聚萃店社保局检查需整改事项</w:t>
      </w:r>
    </w:p>
    <w:p>
      <w:pPr>
        <w:ind w:firstLine="1680" w:firstLineChars="8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社保使用指南摘抄，医疗保险定点零售药店服务协议书摘抄，医保违规处理制度，药品进销存制度，财务管理制度（节选），参保人员划卡流程。全部打印纸质版。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建立医保人员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3零售药店基本信息（法人姓名，法人证件号码、执业许可证、药品经营许可证号、零售药店GSP认证、组织机构代码证号或社会信用代码）。一一完善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专技人员基本信息（人员编码、姓名、性别、出生日期、名族、有效证件类型、有效证件号码、执业范围、职称、执业证书编码、资格证书编码、执业注册地、处方有效标志、联系电话、在该零售药店执业时间、在该零售药店结束执业时间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