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32"/>
          <w:szCs w:val="40"/>
          <w:lang w:val="en-US" w:eastAsia="zh-CN"/>
        </w:rPr>
        <w:t>都 江 堰 市 人 民 医 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</w:t>
      </w:r>
      <w:r>
        <w:rPr>
          <w:rFonts w:hint="eastAsia"/>
          <w:sz w:val="24"/>
          <w:szCs w:val="32"/>
          <w:lang w:val="en-US" w:eastAsia="zh-CN"/>
        </w:rPr>
        <w:t xml:space="preserve"> 门诊/住院病历号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科室/病区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床位号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姓名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    性别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none"/>
          <w:lang w:val="en-US" w:eastAsia="zh-CN"/>
        </w:rPr>
        <w:t xml:space="preserve">     年龄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开具日期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u w:val="none"/>
          <w:lang w:val="en-US" w:eastAsia="zh-CN"/>
        </w:rPr>
        <w:t>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>月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32"/>
          <w:u w:val="none"/>
          <w:lang w:val="en-US" w:eastAsia="zh-CN"/>
        </w:rPr>
        <w:t>日               费别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临床诊断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药师（审核、校对、发药）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76B9D"/>
    <w:rsid w:val="2A8C69D6"/>
    <w:rsid w:val="2B1D4E1A"/>
    <w:rsid w:val="530E1164"/>
    <w:rsid w:val="63BD788E"/>
    <w:rsid w:val="7DC372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2017-01-12T11:08:03Z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