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附件：</w:t>
      </w:r>
    </w:p>
    <w:p>
      <w:pPr>
        <w:jc w:val="center"/>
        <w:rPr>
          <w:rFonts w:cs="Times New Roman" w:asciiTheme="minorEastAsia" w:hAnsiTheme="minorEastAsia"/>
          <w:b/>
          <w:sz w:val="33"/>
          <w:szCs w:val="33"/>
        </w:rPr>
      </w:pPr>
      <w:r>
        <w:rPr>
          <w:rFonts w:hint="eastAsia" w:cs="Times New Roman" w:asciiTheme="minorEastAsia" w:hAnsiTheme="minorEastAsia"/>
          <w:b/>
          <w:sz w:val="33"/>
          <w:szCs w:val="33"/>
        </w:rPr>
        <w:t>特殊药品生产经营企业、使用单位风险评定表</w:t>
      </w:r>
    </w:p>
    <w:p>
      <w:pPr>
        <w:rPr>
          <w:rFonts w:hint="eastAsia" w:cs="Times New Roman" w:asciiTheme="minorEastAsia" w:hAnsiTheme="minorEastAsia"/>
          <w:sz w:val="24"/>
          <w:szCs w:val="24"/>
          <w:lang w:eastAsia="zh-CN"/>
        </w:rPr>
      </w:pPr>
      <w:r>
        <w:rPr>
          <w:rFonts w:hint="eastAsia" w:cs="Times New Roman" w:asciiTheme="minorEastAsia" w:hAnsiTheme="minorEastAsia"/>
          <w:sz w:val="24"/>
          <w:szCs w:val="24"/>
        </w:rPr>
        <w:t>填表单位：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四川太极大药房连锁有限公司大邑沙渠店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 xml:space="preserve">                                                                           填表日期：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2016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 年 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 月  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30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日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4536"/>
        <w:gridCol w:w="1134"/>
        <w:gridCol w:w="1134"/>
        <w:gridCol w:w="1701"/>
        <w:gridCol w:w="3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</w:rPr>
              <w:t>名称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</w:rPr>
              <w:t>检查中发现的问题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</w:rPr>
              <w:t>危害性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</w:rPr>
              <w:t>发生率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</w:rPr>
              <w:t>企业整体</w:t>
            </w:r>
          </w:p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</w:rPr>
              <w:t>风险评价</w:t>
            </w:r>
            <w:bookmarkStart w:id="0" w:name="_GoBack"/>
            <w:bookmarkEnd w:id="0"/>
          </w:p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</w:rPr>
              <w:t>及说明</w:t>
            </w:r>
          </w:p>
        </w:tc>
        <w:tc>
          <w:tcPr>
            <w:tcW w:w="3860" w:type="dxa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</w:rPr>
              <w:t>企业整改情况、处理情况</w:t>
            </w:r>
          </w:p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</w:rPr>
              <w:t>及针对性监管措施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  <w:fldChar w:fldCharType="begin"/>
            </w:r>
            <w: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  <w:instrText xml:space="preserve"> </w:instrText>
            </w: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</w:rPr>
              <w:instrText xml:space="preserve">= 1 \* GB1</w:instrText>
            </w:r>
            <w: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  <w:fldChar w:fldCharType="separate"/>
            </w: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</w:rPr>
              <w:t>⒈</w:t>
            </w:r>
            <w: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  <w:fldChar w:fldCharType="end"/>
            </w: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eastAsia="zh-CN"/>
              </w:rPr>
              <w:t>复方甘草口服液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eastAsia="zh-CN"/>
              </w:rPr>
              <w:t>偶发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  <w:tc>
          <w:tcPr>
            <w:tcW w:w="3860" w:type="dxa"/>
            <w:vMerge w:val="restart"/>
            <w:vAlign w:val="center"/>
          </w:tcPr>
          <w:p>
            <w:pP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  <w:fldChar w:fldCharType="begin"/>
            </w:r>
            <w: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  <w:instrText xml:space="preserve"> </w:instrText>
            </w: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</w:rPr>
              <w:instrText xml:space="preserve">= 2 \* GB1</w:instrText>
            </w:r>
            <w: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  <w:fldChar w:fldCharType="separate"/>
            </w: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</w:rPr>
              <w:t>⒉</w:t>
            </w:r>
            <w: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  <w:fldChar w:fldCharType="end"/>
            </w: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eastAsia="zh-CN"/>
              </w:rPr>
              <w:t>酚麻美敏片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eastAsia="zh-CN"/>
              </w:rPr>
              <w:t>一般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eastAsia="zh-CN"/>
              </w:rPr>
              <w:t>偶发</w:t>
            </w: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  <w:tc>
          <w:tcPr>
            <w:tcW w:w="3860" w:type="dxa"/>
            <w:vMerge w:val="continue"/>
            <w:vAlign w:val="center"/>
          </w:tcPr>
          <w:p>
            <w:pP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  <w:fldChar w:fldCharType="begin"/>
            </w:r>
            <w: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  <w:instrText xml:space="preserve"> </w:instrText>
            </w: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</w:rPr>
              <w:instrText xml:space="preserve">= 3 \* GB1</w:instrText>
            </w:r>
            <w: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  <w:fldChar w:fldCharType="separate"/>
            </w: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</w:rPr>
              <w:t>⒊</w:t>
            </w:r>
            <w: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  <w:fldChar w:fldCharType="end"/>
            </w: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eastAsia="zh-CN"/>
              </w:rPr>
              <w:t>盐酸伪麻磺碱缓释胶囊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eastAsia="zh-CN"/>
              </w:rPr>
              <w:t>一般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eastAsia="zh-CN"/>
              </w:rPr>
              <w:t>偶发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  <w:tc>
          <w:tcPr>
            <w:tcW w:w="3860" w:type="dxa"/>
            <w:vMerge w:val="continue"/>
            <w:vAlign w:val="center"/>
          </w:tcPr>
          <w:p>
            <w:pP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</w:rPr>
              <w:t>4.</w:t>
            </w: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eastAsia="zh-CN"/>
              </w:rPr>
              <w:t>复方酚咖伪麻胶囊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eastAsia="zh-CN"/>
              </w:rPr>
              <w:t>一般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eastAsia="zh-CN"/>
              </w:rPr>
              <w:t>偶发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  <w:tc>
          <w:tcPr>
            <w:tcW w:w="3860" w:type="dxa"/>
            <w:vMerge w:val="continue"/>
            <w:vAlign w:val="center"/>
          </w:tcPr>
          <w:p>
            <w:pP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  <w:tc>
          <w:tcPr>
            <w:tcW w:w="3860" w:type="dxa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</w:tr>
    </w:tbl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填表说明：①</w:t>
      </w:r>
      <w:r>
        <w:rPr>
          <w:rFonts w:hint="eastAsia" w:cs="Times New Roman" w:asciiTheme="minorEastAsia" w:hAnsiTheme="minorEastAsia"/>
          <w:b/>
          <w:sz w:val="24"/>
          <w:szCs w:val="24"/>
        </w:rPr>
        <w:t>危害性</w:t>
      </w:r>
      <w:r>
        <w:rPr>
          <w:rFonts w:hint="eastAsia" w:cs="Times New Roman" w:asciiTheme="minorEastAsia" w:hAnsiTheme="minorEastAsia"/>
          <w:sz w:val="24"/>
          <w:szCs w:val="24"/>
        </w:rPr>
        <w:t>分为“严重危害”、“中等危害”、“一般危害”；</w:t>
      </w:r>
    </w:p>
    <w:p>
      <w:pPr>
        <w:ind w:firstLine="1200" w:firstLineChars="5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②</w:t>
      </w:r>
      <w:r>
        <w:rPr>
          <w:rFonts w:hint="eastAsia" w:cs="Times New Roman" w:asciiTheme="minorEastAsia" w:hAnsiTheme="minorEastAsia"/>
          <w:b/>
          <w:sz w:val="24"/>
          <w:szCs w:val="24"/>
        </w:rPr>
        <w:t>发生率</w:t>
      </w:r>
      <w:r>
        <w:rPr>
          <w:rFonts w:hint="eastAsia" w:cs="Times New Roman" w:asciiTheme="minorEastAsia" w:hAnsiTheme="minorEastAsia"/>
          <w:sz w:val="24"/>
          <w:szCs w:val="24"/>
        </w:rPr>
        <w:t>分为“高发”、“中发”、“偶发”；</w:t>
      </w:r>
    </w:p>
    <w:p>
      <w:pPr>
        <w:ind w:firstLine="1200" w:firstLineChars="5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③</w:t>
      </w:r>
      <w:r>
        <w:rPr>
          <w:rFonts w:hint="eastAsia" w:cs="Times New Roman" w:asciiTheme="minorEastAsia" w:hAnsiTheme="minorEastAsia"/>
          <w:b/>
          <w:sz w:val="24"/>
          <w:szCs w:val="24"/>
        </w:rPr>
        <w:t>企业整体风险评价</w:t>
      </w:r>
      <w:r>
        <w:rPr>
          <w:rFonts w:hint="eastAsia" w:cs="Times New Roman" w:asciiTheme="minorEastAsia" w:hAnsiTheme="minorEastAsia"/>
          <w:sz w:val="24"/>
          <w:szCs w:val="24"/>
        </w:rPr>
        <w:t>分为“高”、“中”、“低”；该项评价除要参考①②项外，还要参考日常监管情况。</w:t>
      </w:r>
    </w:p>
    <w:p>
      <w:pPr>
        <w:rPr>
          <w:rFonts w:cs="Times New Roman" w:asciiTheme="minorEastAsia" w:hAnsiTheme="minorEastAsia"/>
          <w:szCs w:val="21"/>
        </w:rPr>
      </w:pPr>
    </w:p>
    <w:p>
      <w:pPr>
        <w:rPr>
          <w:rFonts w:cs="Times New Roman" w:asciiTheme="minorEastAsia" w:hAnsiTheme="minorEastAsia"/>
          <w:szCs w:val="21"/>
        </w:rPr>
      </w:pPr>
    </w:p>
    <w:sectPr>
      <w:pgSz w:w="16838" w:h="11906" w:orient="landscape"/>
      <w:pgMar w:top="1752" w:right="1440" w:bottom="1752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2111"/>
    <w:rsid w:val="00043C09"/>
    <w:rsid w:val="0005342D"/>
    <w:rsid w:val="00056ECB"/>
    <w:rsid w:val="0006728F"/>
    <w:rsid w:val="00095794"/>
    <w:rsid w:val="000B71C5"/>
    <w:rsid w:val="000D7265"/>
    <w:rsid w:val="000F2C1E"/>
    <w:rsid w:val="00160333"/>
    <w:rsid w:val="001846A2"/>
    <w:rsid w:val="00186783"/>
    <w:rsid w:val="001B22FC"/>
    <w:rsid w:val="001B2B40"/>
    <w:rsid w:val="00207C27"/>
    <w:rsid w:val="0021250F"/>
    <w:rsid w:val="00216E90"/>
    <w:rsid w:val="00246BDF"/>
    <w:rsid w:val="00252E0F"/>
    <w:rsid w:val="00256184"/>
    <w:rsid w:val="0026024F"/>
    <w:rsid w:val="0026085F"/>
    <w:rsid w:val="00262C6F"/>
    <w:rsid w:val="00266A7C"/>
    <w:rsid w:val="00275C23"/>
    <w:rsid w:val="00294269"/>
    <w:rsid w:val="002E4862"/>
    <w:rsid w:val="002F31DD"/>
    <w:rsid w:val="00322F4C"/>
    <w:rsid w:val="00323811"/>
    <w:rsid w:val="0032571C"/>
    <w:rsid w:val="003467F1"/>
    <w:rsid w:val="00350C1C"/>
    <w:rsid w:val="0035716D"/>
    <w:rsid w:val="00364C90"/>
    <w:rsid w:val="003C3B30"/>
    <w:rsid w:val="003D3059"/>
    <w:rsid w:val="003E1E9F"/>
    <w:rsid w:val="004017BB"/>
    <w:rsid w:val="0044096B"/>
    <w:rsid w:val="00455AB1"/>
    <w:rsid w:val="00466476"/>
    <w:rsid w:val="004B4B9A"/>
    <w:rsid w:val="004E78C7"/>
    <w:rsid w:val="00581A1F"/>
    <w:rsid w:val="005A4ACF"/>
    <w:rsid w:val="005B25D4"/>
    <w:rsid w:val="005C7EFC"/>
    <w:rsid w:val="005F3703"/>
    <w:rsid w:val="0060596B"/>
    <w:rsid w:val="006122B3"/>
    <w:rsid w:val="00614DE8"/>
    <w:rsid w:val="00630C0E"/>
    <w:rsid w:val="006421E7"/>
    <w:rsid w:val="00651F88"/>
    <w:rsid w:val="006A2979"/>
    <w:rsid w:val="006A5808"/>
    <w:rsid w:val="006C2483"/>
    <w:rsid w:val="006D2E93"/>
    <w:rsid w:val="006E2D04"/>
    <w:rsid w:val="007034F1"/>
    <w:rsid w:val="00714F23"/>
    <w:rsid w:val="00716AB7"/>
    <w:rsid w:val="00716FD4"/>
    <w:rsid w:val="00720C21"/>
    <w:rsid w:val="007354A7"/>
    <w:rsid w:val="00742A79"/>
    <w:rsid w:val="007602B4"/>
    <w:rsid w:val="00761E39"/>
    <w:rsid w:val="00770EB9"/>
    <w:rsid w:val="0078251B"/>
    <w:rsid w:val="007B1052"/>
    <w:rsid w:val="007D01AA"/>
    <w:rsid w:val="007D3BA3"/>
    <w:rsid w:val="007E0F09"/>
    <w:rsid w:val="007E77AC"/>
    <w:rsid w:val="00833496"/>
    <w:rsid w:val="0089248A"/>
    <w:rsid w:val="00896BBE"/>
    <w:rsid w:val="008C1F06"/>
    <w:rsid w:val="008C221C"/>
    <w:rsid w:val="008D5CB3"/>
    <w:rsid w:val="008E4C5C"/>
    <w:rsid w:val="008E7039"/>
    <w:rsid w:val="009030B3"/>
    <w:rsid w:val="00914DC5"/>
    <w:rsid w:val="009179E7"/>
    <w:rsid w:val="009219CB"/>
    <w:rsid w:val="00925988"/>
    <w:rsid w:val="00981E38"/>
    <w:rsid w:val="00982111"/>
    <w:rsid w:val="009A3790"/>
    <w:rsid w:val="00A146BD"/>
    <w:rsid w:val="00A27A3B"/>
    <w:rsid w:val="00B33F0C"/>
    <w:rsid w:val="00B57068"/>
    <w:rsid w:val="00BA39C1"/>
    <w:rsid w:val="00BC1D9B"/>
    <w:rsid w:val="00C07FFD"/>
    <w:rsid w:val="00C20B0D"/>
    <w:rsid w:val="00C337A2"/>
    <w:rsid w:val="00C40851"/>
    <w:rsid w:val="00C42D63"/>
    <w:rsid w:val="00C4317A"/>
    <w:rsid w:val="00C778E2"/>
    <w:rsid w:val="00C81A04"/>
    <w:rsid w:val="00C9258F"/>
    <w:rsid w:val="00CB2734"/>
    <w:rsid w:val="00D16BDB"/>
    <w:rsid w:val="00D30C4D"/>
    <w:rsid w:val="00D3141E"/>
    <w:rsid w:val="00D64F4B"/>
    <w:rsid w:val="00D72E85"/>
    <w:rsid w:val="00D75694"/>
    <w:rsid w:val="00D85EA8"/>
    <w:rsid w:val="00DA0F38"/>
    <w:rsid w:val="00DA16C2"/>
    <w:rsid w:val="00DC6B13"/>
    <w:rsid w:val="00DD5CAC"/>
    <w:rsid w:val="00E44E89"/>
    <w:rsid w:val="00E72DE2"/>
    <w:rsid w:val="00E76F72"/>
    <w:rsid w:val="00EA6FBB"/>
    <w:rsid w:val="00EB40EF"/>
    <w:rsid w:val="00ED5A6A"/>
    <w:rsid w:val="00F31609"/>
    <w:rsid w:val="00F60B2D"/>
    <w:rsid w:val="00F72CC5"/>
    <w:rsid w:val="00F92507"/>
    <w:rsid w:val="00F93850"/>
    <w:rsid w:val="00FA44D3"/>
    <w:rsid w:val="00FB0556"/>
    <w:rsid w:val="00FB47DA"/>
    <w:rsid w:val="00FB7AE1"/>
    <w:rsid w:val="0F9A784E"/>
    <w:rsid w:val="27AF2818"/>
    <w:rsid w:val="2F1A28D6"/>
    <w:rsid w:val="4EB73AF0"/>
    <w:rsid w:val="61F9276F"/>
    <w:rsid w:val="74475B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纯文本 Char"/>
    <w:basedOn w:val="5"/>
    <w:link w:val="2"/>
    <w:qFormat/>
    <w:uiPriority w:val="99"/>
    <w:rPr>
      <w:rFonts w:ascii="宋体" w:hAnsi="Courier New" w:eastAsia="宋体" w:cs="Courier New"/>
      <w:szCs w:val="21"/>
    </w:rPr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sz w:val="18"/>
      <w:szCs w:val="18"/>
    </w:rPr>
  </w:style>
  <w:style w:type="paragraph" w:customStyle="1" w:styleId="11">
    <w:name w:val="p18"/>
    <w:basedOn w:val="1"/>
    <w:uiPriority w:val="0"/>
    <w:pPr>
      <w:widowControl/>
    </w:pPr>
    <w:rPr>
      <w:rFonts w:ascii="宋体" w:hAnsi="宋体" w:eastAsia="宋体" w:cs="宋体"/>
      <w:kern w:val="0"/>
      <w:szCs w:val="21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330</Characters>
  <Lines>2</Lines>
  <Paragraphs>1</Paragraphs>
  <TotalTime>0</TotalTime>
  <ScaleCrop>false</ScaleCrop>
  <LinksUpToDate>false</LinksUpToDate>
  <CharactersWithSpaces>386</CharactersWithSpaces>
  <Application>WPS Office_10.1.0.5591_F1E327BC-269C-435d-A152-05C5408002CA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2016-08-29T01:01:00Z</dcterms:created>
  <dc:creator>孙虹</dc:creator>
  <cp:lastModifiedBy>Administrator</cp:lastModifiedBy>
  <dcterms:modified xsi:type="dcterms:W3CDTF">2016-09-30T02:50:40Z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2052-10.1.0.5591</vt:lpwstr>
  </property>
</Properties>
</file>