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>
      <w:pPr>
        <w:jc w:val="center"/>
        <w:rPr>
          <w:rFonts w:cs="Times New Roman" w:asciiTheme="minorEastAsia" w:hAnsiTheme="minorEastAsia"/>
          <w:b/>
          <w:sz w:val="33"/>
          <w:szCs w:val="33"/>
        </w:rPr>
      </w:pPr>
      <w:r>
        <w:rPr>
          <w:rFonts w:hint="eastAsia" w:cs="Times New Roman" w:asciiTheme="minorEastAsia" w:hAnsiTheme="minorEastAsia"/>
          <w:b/>
          <w:sz w:val="33"/>
          <w:szCs w:val="33"/>
        </w:rPr>
        <w:t>特殊药品生产经营企业、使用单位风险评定表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填表单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位：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                   填表日期：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2016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年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月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日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536"/>
        <w:gridCol w:w="1134"/>
        <w:gridCol w:w="1134"/>
        <w:gridCol w:w="1701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检查中发现的问题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危害性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发生率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企业整体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风险评价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及说明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企业整改情况、处理情况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及针对性监管措施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  <w:t>四川太极大药房连锁有限公司大邑县晋原镇内蒙古大道药店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1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⒈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复方甘草口服液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措施：</w: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  <w:t>1.含麻黄碱的特殊制剂都是严格按照规定销售，每次销售不得超过2盒，必须凭身份证且做好电子及纸质版登记备查</w:t>
            </w:r>
          </w:p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val="en-US" w:eastAsia="zh-CN"/>
              </w:rPr>
              <w:t>2.含麻超过30mg的必须凭医生处方销售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2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⒉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复方盐酸伪麻黄碱缓释胶囊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instrText xml:space="preserve">= 3 \* GB1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⒊</w:t>
            </w:r>
            <w: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酚麻美敏片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复方酚咖伪麻胶囊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 w:val="24"/>
                <w:szCs w:val="24"/>
                <w:lang w:eastAsia="zh-CN"/>
              </w:rPr>
              <w:t>偶发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continue"/>
            <w:vAlign w:val="center"/>
          </w:tcPr>
          <w:p>
            <w:pPr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填表说明：①</w:t>
      </w:r>
      <w:r>
        <w:rPr>
          <w:rFonts w:hint="eastAsia" w:cs="Times New Roman" w:asciiTheme="minorEastAsia" w:hAnsiTheme="minorEastAsia"/>
          <w:b/>
          <w:sz w:val="24"/>
          <w:szCs w:val="24"/>
        </w:rPr>
        <w:t>危害性</w:t>
      </w:r>
      <w:r>
        <w:rPr>
          <w:rFonts w:hint="eastAsia" w:cs="Times New Roman" w:asciiTheme="minorEastAsia" w:hAnsiTheme="minorEastAsia"/>
          <w:sz w:val="24"/>
          <w:szCs w:val="24"/>
        </w:rPr>
        <w:t>分为“严重危害”、“中等危害”、“一般危害”；</w:t>
      </w:r>
    </w:p>
    <w:p>
      <w:pPr>
        <w:ind w:firstLine="1200" w:firstLineChars="5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②</w:t>
      </w:r>
      <w:r>
        <w:rPr>
          <w:rFonts w:hint="eastAsia" w:cs="Times New Roman" w:asciiTheme="minorEastAsia" w:hAnsiTheme="minorEastAsia"/>
          <w:b/>
          <w:sz w:val="24"/>
          <w:szCs w:val="24"/>
        </w:rPr>
        <w:t>发生率</w:t>
      </w:r>
      <w:r>
        <w:rPr>
          <w:rFonts w:hint="eastAsia" w:cs="Times New Roman" w:asciiTheme="minorEastAsia" w:hAnsiTheme="minorEastAsia"/>
          <w:sz w:val="24"/>
          <w:szCs w:val="24"/>
        </w:rPr>
        <w:t>分为“高发”、“中发”、“偶发”；</w:t>
      </w:r>
    </w:p>
    <w:p>
      <w:pPr>
        <w:ind w:firstLine="1200" w:firstLineChars="5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③</w:t>
      </w:r>
      <w:r>
        <w:rPr>
          <w:rFonts w:hint="eastAsia" w:cs="Times New Roman" w:asciiTheme="minorEastAsia" w:hAnsiTheme="minorEastAsia"/>
          <w:b/>
          <w:sz w:val="24"/>
          <w:szCs w:val="24"/>
        </w:rPr>
        <w:t>企业整体风险评价</w:t>
      </w:r>
      <w:r>
        <w:rPr>
          <w:rFonts w:hint="eastAsia" w:cs="Times New Roman" w:asciiTheme="minorEastAsia" w:hAnsiTheme="minorEastAsia"/>
          <w:sz w:val="24"/>
          <w:szCs w:val="24"/>
        </w:rPr>
        <w:t>分为“高”、“中”、“低”；该项评价除要参考①②项外，还要参考日常监管情况。</w:t>
      </w:r>
    </w:p>
    <w:p>
      <w:pPr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</w:p>
    <w:sectPr>
      <w:pgSz w:w="16838" w:h="11906" w:orient="landscape"/>
      <w:pgMar w:top="1752" w:right="1440" w:bottom="1752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111"/>
    <w:rsid w:val="00043C09"/>
    <w:rsid w:val="0005342D"/>
    <w:rsid w:val="00056ECB"/>
    <w:rsid w:val="0006728F"/>
    <w:rsid w:val="00095794"/>
    <w:rsid w:val="000B71C5"/>
    <w:rsid w:val="000D7265"/>
    <w:rsid w:val="000F2C1E"/>
    <w:rsid w:val="00160333"/>
    <w:rsid w:val="001846A2"/>
    <w:rsid w:val="00186783"/>
    <w:rsid w:val="001B22FC"/>
    <w:rsid w:val="001B2B40"/>
    <w:rsid w:val="00207C27"/>
    <w:rsid w:val="0021250F"/>
    <w:rsid w:val="00216E90"/>
    <w:rsid w:val="00246BDF"/>
    <w:rsid w:val="00252E0F"/>
    <w:rsid w:val="00256184"/>
    <w:rsid w:val="0026024F"/>
    <w:rsid w:val="0026085F"/>
    <w:rsid w:val="00262C6F"/>
    <w:rsid w:val="00266A7C"/>
    <w:rsid w:val="00275C23"/>
    <w:rsid w:val="00294269"/>
    <w:rsid w:val="002E4862"/>
    <w:rsid w:val="002F31DD"/>
    <w:rsid w:val="00322F4C"/>
    <w:rsid w:val="00323811"/>
    <w:rsid w:val="0032571C"/>
    <w:rsid w:val="003467F1"/>
    <w:rsid w:val="00350C1C"/>
    <w:rsid w:val="0035716D"/>
    <w:rsid w:val="00364C90"/>
    <w:rsid w:val="003C3B30"/>
    <w:rsid w:val="003D3059"/>
    <w:rsid w:val="003E1E9F"/>
    <w:rsid w:val="004017BB"/>
    <w:rsid w:val="0044096B"/>
    <w:rsid w:val="00455AB1"/>
    <w:rsid w:val="00466476"/>
    <w:rsid w:val="004B4B9A"/>
    <w:rsid w:val="004E78C7"/>
    <w:rsid w:val="00581A1F"/>
    <w:rsid w:val="005A4ACF"/>
    <w:rsid w:val="005B25D4"/>
    <w:rsid w:val="005C7EFC"/>
    <w:rsid w:val="005F3703"/>
    <w:rsid w:val="0060596B"/>
    <w:rsid w:val="006122B3"/>
    <w:rsid w:val="00614DE8"/>
    <w:rsid w:val="00630C0E"/>
    <w:rsid w:val="006421E7"/>
    <w:rsid w:val="00651F88"/>
    <w:rsid w:val="006A2979"/>
    <w:rsid w:val="006A5808"/>
    <w:rsid w:val="006C2483"/>
    <w:rsid w:val="006D2E93"/>
    <w:rsid w:val="006E2D04"/>
    <w:rsid w:val="007034F1"/>
    <w:rsid w:val="00714F23"/>
    <w:rsid w:val="00716AB7"/>
    <w:rsid w:val="00716FD4"/>
    <w:rsid w:val="00720C21"/>
    <w:rsid w:val="007354A7"/>
    <w:rsid w:val="00742A79"/>
    <w:rsid w:val="007602B4"/>
    <w:rsid w:val="00761E39"/>
    <w:rsid w:val="00770EB9"/>
    <w:rsid w:val="0078251B"/>
    <w:rsid w:val="007B1052"/>
    <w:rsid w:val="007D01AA"/>
    <w:rsid w:val="007D3BA3"/>
    <w:rsid w:val="007E0F09"/>
    <w:rsid w:val="007E77AC"/>
    <w:rsid w:val="00833496"/>
    <w:rsid w:val="0089248A"/>
    <w:rsid w:val="00896BBE"/>
    <w:rsid w:val="008C1F06"/>
    <w:rsid w:val="008C221C"/>
    <w:rsid w:val="008D5CB3"/>
    <w:rsid w:val="008E4C5C"/>
    <w:rsid w:val="008E7039"/>
    <w:rsid w:val="009030B3"/>
    <w:rsid w:val="00914DC5"/>
    <w:rsid w:val="009219CB"/>
    <w:rsid w:val="00925988"/>
    <w:rsid w:val="00981E38"/>
    <w:rsid w:val="00982111"/>
    <w:rsid w:val="009A3790"/>
    <w:rsid w:val="00A146BD"/>
    <w:rsid w:val="00A27A3B"/>
    <w:rsid w:val="00B33F0C"/>
    <w:rsid w:val="00B57068"/>
    <w:rsid w:val="00BA39C1"/>
    <w:rsid w:val="00BC1D9B"/>
    <w:rsid w:val="00C07FFD"/>
    <w:rsid w:val="00C20B0D"/>
    <w:rsid w:val="00C337A2"/>
    <w:rsid w:val="00C40851"/>
    <w:rsid w:val="00C42D63"/>
    <w:rsid w:val="00C4317A"/>
    <w:rsid w:val="00C778E2"/>
    <w:rsid w:val="00C81A04"/>
    <w:rsid w:val="00C9258F"/>
    <w:rsid w:val="00CB2734"/>
    <w:rsid w:val="00D16BDB"/>
    <w:rsid w:val="00D30C4D"/>
    <w:rsid w:val="00D3141E"/>
    <w:rsid w:val="00D64F4B"/>
    <w:rsid w:val="00D72E85"/>
    <w:rsid w:val="00D75694"/>
    <w:rsid w:val="00D85EA8"/>
    <w:rsid w:val="00DA0F38"/>
    <w:rsid w:val="00DA16C2"/>
    <w:rsid w:val="00DC6B13"/>
    <w:rsid w:val="00DD5CAC"/>
    <w:rsid w:val="00E44E89"/>
    <w:rsid w:val="00E72DE2"/>
    <w:rsid w:val="00E76F72"/>
    <w:rsid w:val="00EA6FBB"/>
    <w:rsid w:val="00EB40EF"/>
    <w:rsid w:val="00ED5A6A"/>
    <w:rsid w:val="00F31609"/>
    <w:rsid w:val="00F60B2D"/>
    <w:rsid w:val="00F72CC5"/>
    <w:rsid w:val="00F92507"/>
    <w:rsid w:val="00F93850"/>
    <w:rsid w:val="00FA44D3"/>
    <w:rsid w:val="00FB0556"/>
    <w:rsid w:val="00FB47DA"/>
    <w:rsid w:val="00FB7AE1"/>
    <w:rsid w:val="0D8A23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p18"/>
    <w:basedOn w:val="1"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2016-08-29T01:01:00Z</dcterms:created>
  <dc:creator>孙虹</dc:creator>
  <cp:lastModifiedBy>Administrator</cp:lastModifiedBy>
  <cp:lastPrinted>2016-09-29T03:20:25Z</cp:lastPrinted>
  <dcterms:modified xsi:type="dcterms:W3CDTF">2016-09-29T03:23:39Z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