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殷岱菊                                 被考评人：苏佳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2016-08-28T07:12:24Z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