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480"/>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四川太极大药房连锁有限公司</w:t>
      </w:r>
    </w:p>
    <w:p>
      <w:pPr>
        <w:ind w:firstLine="480"/>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新都区新繁镇繁江北路药店医疗器械自查报告</w:t>
      </w:r>
    </w:p>
    <w:p>
      <w:pPr>
        <w:keepNext w:val="0"/>
        <w:keepLines w:val="0"/>
        <w:pageBreakBefore w:val="0"/>
        <w:widowControl w:val="0"/>
        <w:wordWrap/>
        <w:topLinePunct w:val="0"/>
        <w:bidi w:val="0"/>
        <w:spacing w:line="360" w:lineRule="auto"/>
        <w:ind w:left="0" w:leftChars="0" w:right="0" w:rightChars="0" w:firstLine="480" w:firstLineChars="200"/>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按照国家总局《关于整治医疗器械流通领域经营行为的通知》要求，我公司</w:t>
      </w:r>
      <w:r>
        <w:rPr>
          <w:rFonts w:hint="eastAsia" w:ascii="宋体" w:hAnsi="宋体" w:eastAsia="宋体" w:cs="宋体"/>
          <w:b w:val="0"/>
          <w:bCs/>
          <w:sz w:val="24"/>
          <w:szCs w:val="24"/>
          <w:lang w:val="en-US" w:eastAsia="zh-CN"/>
        </w:rPr>
        <w:t>新都区新繁镇繁江北路药店</w:t>
      </w:r>
      <w:r>
        <w:rPr>
          <w:rFonts w:hint="eastAsia" w:ascii="宋体" w:hAnsi="宋体" w:eastAsia="宋体" w:cs="宋体"/>
          <w:b w:val="0"/>
          <w:bCs/>
          <w:sz w:val="24"/>
          <w:szCs w:val="24"/>
        </w:rPr>
        <w:t>对照进行了自查</w:t>
      </w:r>
      <w:r>
        <w:rPr>
          <w:rFonts w:hint="eastAsia" w:ascii="宋体" w:hAnsi="宋体" w:eastAsia="宋体" w:cs="宋体"/>
          <w:b w:val="0"/>
          <w:bCs/>
          <w:sz w:val="24"/>
          <w:szCs w:val="24"/>
          <w:lang w:eastAsia="zh-CN"/>
        </w:rPr>
        <w:t>，内容如下：</w:t>
      </w:r>
    </w:p>
    <w:p>
      <w:pPr>
        <w:keepNext w:val="0"/>
        <w:keepLines w:val="0"/>
        <w:pageBreakBefore w:val="0"/>
        <w:widowControl w:val="0"/>
        <w:wordWrap/>
        <w:topLinePunct w:val="0"/>
        <w:bidi w:val="0"/>
        <w:spacing w:line="360" w:lineRule="auto"/>
        <w:ind w:left="0" w:leftChars="0" w:right="0" w:rightChars="0"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四川太极大药房连锁有限公司新都区新繁镇繁江北路药店，</w:t>
      </w:r>
      <w:r>
        <w:rPr>
          <w:rFonts w:hint="eastAsia" w:ascii="宋体" w:hAnsi="宋体" w:eastAsia="宋体" w:cs="宋体"/>
          <w:b w:val="0"/>
          <w:bCs/>
          <w:sz w:val="24"/>
          <w:szCs w:val="24"/>
        </w:rPr>
        <w:t>经营</w:t>
      </w:r>
      <w:r>
        <w:rPr>
          <w:rFonts w:hint="eastAsia" w:ascii="宋体" w:hAnsi="宋体" w:eastAsia="宋体" w:cs="宋体"/>
          <w:b w:val="0"/>
          <w:bCs/>
          <w:sz w:val="24"/>
          <w:szCs w:val="24"/>
          <w:lang w:eastAsia="zh-CN"/>
        </w:rPr>
        <w:t>地址为：</w:t>
      </w:r>
      <w:r>
        <w:rPr>
          <w:rFonts w:hint="eastAsia" w:ascii="宋体" w:hAnsi="宋体" w:eastAsia="宋体" w:cs="宋体"/>
          <w:b w:val="0"/>
          <w:bCs/>
          <w:sz w:val="24"/>
          <w:szCs w:val="24"/>
          <w:lang w:val="en-US" w:eastAsia="zh-CN"/>
        </w:rPr>
        <w:t>新都区新繁镇繁江北路115、117、119号，</w:t>
      </w:r>
      <w:r>
        <w:rPr>
          <w:rFonts w:hint="eastAsia" w:ascii="宋体" w:hAnsi="宋体" w:eastAsia="宋体" w:cs="宋体"/>
          <w:b w:val="0"/>
          <w:bCs/>
          <w:sz w:val="24"/>
          <w:szCs w:val="24"/>
        </w:rPr>
        <w:t>核准经营范围</w:t>
      </w:r>
      <w:r>
        <w:rPr>
          <w:rFonts w:hint="eastAsia" w:ascii="宋体" w:hAnsi="宋体" w:eastAsia="宋体" w:cs="宋体"/>
          <w:b w:val="0"/>
          <w:bCs/>
          <w:sz w:val="24"/>
          <w:szCs w:val="24"/>
          <w:lang w:val="en-US" w:eastAsia="zh-CN"/>
        </w:rPr>
        <w:t>:医疗器械I类,第二类医疗器械已备案。第二类医疗器械经营备案凭证：备案号：川蓉食药监械经营备20151243号。经营方式：零售。经营范围：6820普通诊察器械；6821医</w:t>
      </w:r>
      <w:bookmarkStart w:id="0" w:name="_GoBack"/>
      <w:bookmarkEnd w:id="0"/>
      <w:r>
        <w:rPr>
          <w:rFonts w:hint="eastAsia" w:ascii="宋体" w:hAnsi="宋体" w:eastAsia="宋体" w:cs="宋体"/>
          <w:b w:val="0"/>
          <w:bCs/>
          <w:sz w:val="24"/>
          <w:szCs w:val="24"/>
          <w:lang w:val="en-US" w:eastAsia="zh-CN"/>
        </w:rPr>
        <w:t>用电子仪器设备；6823医用超声仪器及有关设备；6825医用高频仪器设备；6826物理治疗设备；6827中医器械；6840临床检验分析仪器；6854手术室、急救室、诊疗室设备及器具；6856病房护理设备及器具；6864医用卫生材料及敷料；6866医用高分子材料及制品。</w:t>
      </w:r>
    </w:p>
    <w:p>
      <w:pPr>
        <w:keepNext w:val="0"/>
        <w:keepLines w:val="0"/>
        <w:pageBreakBefore w:val="0"/>
        <w:widowControl w:val="0"/>
        <w:wordWrap/>
        <w:topLinePunct w:val="0"/>
        <w:bidi w:val="0"/>
        <w:spacing w:line="360" w:lineRule="auto"/>
        <w:ind w:left="0" w:leftChars="0" w:right="0" w:rightChars="0"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lang w:eastAsia="zh-CN"/>
        </w:rPr>
        <w:t>公司按照《医疗器械经营质量管理规范》</w:t>
      </w:r>
      <w:r>
        <w:rPr>
          <w:rFonts w:hint="eastAsia" w:ascii="宋体" w:hAnsi="宋体" w:eastAsia="宋体" w:cs="宋体"/>
          <w:color w:val="000000"/>
          <w:kern w:val="0"/>
          <w:sz w:val="24"/>
          <w:szCs w:val="24"/>
        </w:rPr>
        <w:t>建立</w:t>
      </w:r>
      <w:r>
        <w:rPr>
          <w:rFonts w:hint="eastAsia" w:ascii="宋体" w:hAnsi="宋体" w:eastAsia="宋体" w:cs="宋体"/>
          <w:color w:val="000000"/>
          <w:kern w:val="0"/>
          <w:sz w:val="24"/>
          <w:szCs w:val="24"/>
          <w:lang w:eastAsia="zh-CN"/>
        </w:rPr>
        <w:t>了</w:t>
      </w:r>
      <w:r>
        <w:rPr>
          <w:rFonts w:hint="eastAsia" w:ascii="宋体" w:hAnsi="宋体" w:eastAsia="宋体" w:cs="宋体"/>
          <w:color w:val="000000"/>
          <w:kern w:val="0"/>
          <w:sz w:val="24"/>
          <w:szCs w:val="24"/>
        </w:rPr>
        <w:t>医疗器械经营全过程的质量管理制度，并保存相关记录</w:t>
      </w:r>
      <w:r>
        <w:rPr>
          <w:rFonts w:hint="eastAsia" w:ascii="宋体" w:hAnsi="宋体" w:eastAsia="宋体" w:cs="宋体"/>
          <w:color w:val="000000"/>
          <w:kern w:val="0"/>
          <w:sz w:val="24"/>
          <w:szCs w:val="24"/>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textAlignment w:val="top"/>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公司</w:t>
      </w:r>
      <w:r>
        <w:rPr>
          <w:rFonts w:hint="eastAsia" w:ascii="宋体" w:hAnsi="宋体" w:eastAsia="宋体" w:cs="宋体"/>
          <w:color w:val="000000"/>
          <w:kern w:val="0"/>
          <w:sz w:val="24"/>
          <w:szCs w:val="24"/>
        </w:rPr>
        <w:t>在采购前审核</w:t>
      </w:r>
      <w:r>
        <w:rPr>
          <w:rFonts w:hint="eastAsia" w:ascii="宋体" w:hAnsi="宋体" w:eastAsia="宋体" w:cs="宋体"/>
          <w:color w:val="000000"/>
          <w:kern w:val="0"/>
          <w:sz w:val="24"/>
          <w:szCs w:val="24"/>
          <w:lang w:eastAsia="zh-CN"/>
        </w:rPr>
        <w:t>了</w:t>
      </w:r>
      <w:r>
        <w:rPr>
          <w:rFonts w:hint="eastAsia" w:ascii="宋体" w:hAnsi="宋体" w:eastAsia="宋体" w:cs="宋体"/>
          <w:color w:val="000000"/>
          <w:kern w:val="0"/>
          <w:sz w:val="24"/>
          <w:szCs w:val="24"/>
        </w:rPr>
        <w:t>供货者的合法资格、所购入医疗器械的合法性并获取加盖供货者公章的相关证明文件或复印件</w:t>
      </w:r>
      <w:r>
        <w:rPr>
          <w:rFonts w:hint="eastAsia" w:ascii="宋体" w:hAnsi="宋体" w:eastAsia="宋体" w:cs="宋体"/>
          <w:color w:val="000000"/>
          <w:kern w:val="0"/>
          <w:sz w:val="24"/>
          <w:szCs w:val="24"/>
          <w:lang w:eastAsia="zh-CN"/>
        </w:rPr>
        <w:t>。</w:t>
      </w:r>
    </w:p>
    <w:p>
      <w:pPr>
        <w:pStyle w:val="2"/>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left="0" w:leftChars="0" w:right="0" w:rightChars="0" w:firstLine="480" w:firstLineChars="200"/>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color w:val="000000"/>
          <w:spacing w:val="-4"/>
          <w:kern w:val="0"/>
          <w:sz w:val="24"/>
          <w:szCs w:val="24"/>
          <w:lang w:eastAsia="zh-CN"/>
        </w:rPr>
        <w:t>门店的</w:t>
      </w:r>
      <w:r>
        <w:rPr>
          <w:rFonts w:hint="eastAsia" w:eastAsia="宋体" w:cs="宋体"/>
          <w:color w:val="000000"/>
          <w:spacing w:val="-4"/>
          <w:kern w:val="0"/>
          <w:sz w:val="24"/>
          <w:szCs w:val="24"/>
          <w:lang w:eastAsia="zh-CN"/>
        </w:rPr>
        <w:t>医疗</w:t>
      </w:r>
      <w:r>
        <w:rPr>
          <w:rFonts w:hint="eastAsia" w:ascii="宋体" w:hAnsi="宋体" w:eastAsia="宋体" w:cs="宋体"/>
          <w:color w:val="000000"/>
          <w:spacing w:val="-4"/>
          <w:kern w:val="0"/>
          <w:sz w:val="24"/>
          <w:szCs w:val="24"/>
          <w:lang w:eastAsia="zh-CN"/>
        </w:rPr>
        <w:t>器械均是连锁公司总部统一</w:t>
      </w:r>
      <w:r>
        <w:rPr>
          <w:rFonts w:hint="eastAsia" w:ascii="宋体" w:hAnsi="宋体" w:eastAsia="宋体" w:cs="宋体"/>
          <w:color w:val="000000"/>
          <w:spacing w:val="-4"/>
          <w:kern w:val="0"/>
          <w:sz w:val="24"/>
          <w:szCs w:val="24"/>
        </w:rPr>
        <w:t>购进</w:t>
      </w:r>
      <w:r>
        <w:rPr>
          <w:rFonts w:hint="eastAsia" w:ascii="宋体" w:hAnsi="宋体" w:eastAsia="宋体" w:cs="宋体"/>
          <w:color w:val="000000"/>
          <w:spacing w:val="-4"/>
          <w:kern w:val="0"/>
          <w:sz w:val="24"/>
          <w:szCs w:val="24"/>
          <w:lang w:eastAsia="zh-CN"/>
        </w:rPr>
        <w:t>，门店按</w:t>
      </w:r>
      <w:r>
        <w:rPr>
          <w:rFonts w:hint="eastAsia" w:eastAsia="宋体" w:cs="宋体"/>
          <w:color w:val="000000"/>
          <w:spacing w:val="-4"/>
          <w:kern w:val="0"/>
          <w:sz w:val="24"/>
          <w:szCs w:val="24"/>
          <w:lang w:eastAsia="zh-CN"/>
        </w:rPr>
        <w:t>要求</w:t>
      </w:r>
      <w:r>
        <w:rPr>
          <w:rFonts w:hint="eastAsia" w:ascii="宋体" w:hAnsi="宋体" w:eastAsia="宋体" w:cs="宋体"/>
          <w:color w:val="000000"/>
          <w:spacing w:val="-4"/>
          <w:kern w:val="0"/>
          <w:sz w:val="24"/>
          <w:szCs w:val="24"/>
        </w:rPr>
        <w:t>贮存、</w:t>
      </w:r>
      <w:r>
        <w:rPr>
          <w:rFonts w:hint="eastAsia" w:eastAsia="宋体" w:cs="宋体"/>
          <w:color w:val="000000"/>
          <w:spacing w:val="-4"/>
          <w:kern w:val="0"/>
          <w:sz w:val="24"/>
          <w:szCs w:val="24"/>
          <w:lang w:eastAsia="zh-CN"/>
        </w:rPr>
        <w:t>陈</w:t>
      </w:r>
      <w:r>
        <w:rPr>
          <w:rFonts w:hint="eastAsia" w:ascii="宋体" w:hAnsi="宋体" w:eastAsia="宋体" w:cs="宋体"/>
          <w:color w:val="000000"/>
          <w:kern w:val="0"/>
          <w:sz w:val="24"/>
          <w:szCs w:val="24"/>
          <w:lang w:val="en-US" w:eastAsia="zh-CN" w:bidi="ar-SA"/>
        </w:rPr>
        <w:t>列、销售，各项记录可查询</w:t>
      </w:r>
      <w:r>
        <w:rPr>
          <w:rFonts w:hint="eastAsia" w:ascii="宋体" w:hAnsi="宋体" w:eastAsia="宋体" w:cs="宋体"/>
          <w:color w:val="000000"/>
          <w:spacing w:val="-4"/>
          <w:kern w:val="0"/>
          <w:sz w:val="24"/>
          <w:szCs w:val="24"/>
          <w:lang w:eastAsia="zh-CN"/>
        </w:rPr>
        <w:t>追溯；</w:t>
      </w:r>
      <w:r>
        <w:rPr>
          <w:rFonts w:hint="eastAsia" w:ascii="宋体" w:hAnsi="宋体" w:eastAsia="宋体" w:cs="宋体"/>
          <w:b w:val="0"/>
          <w:bCs w:val="0"/>
          <w:color w:val="000000"/>
          <w:kern w:val="0"/>
          <w:sz w:val="24"/>
          <w:szCs w:val="24"/>
        </w:rPr>
        <w:t>进、存、销的账目与货物相符。</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textAlignment w:val="top"/>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定期对零售陈列、存放的医疗器械进行检查，重点检查拆零医疗器械和近效期医疗器械，销售给顾客时提供销售凭证。</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textAlignment w:val="top"/>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进货查验记录和销售记录保存至医疗器械有效期后2年；无有效期的，不得少于5年。</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textAlignment w:val="top"/>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门店</w:t>
      </w:r>
      <w:r>
        <w:rPr>
          <w:rFonts w:hint="eastAsia" w:ascii="宋体" w:hAnsi="宋体" w:eastAsia="宋体" w:cs="宋体"/>
          <w:color w:val="000000"/>
          <w:kern w:val="0"/>
          <w:sz w:val="24"/>
          <w:szCs w:val="24"/>
        </w:rPr>
        <w:t>验收人员对医疗器械的外观、包装、标签以及合格证明文件等进行检查、核对，并做好验收记录。</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textAlignment w:val="top"/>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建立了员工健康档案，质量管理、验收等直接接触医疗器械岗位的人员，每年进行一次健康检查。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textAlignment w:val="top"/>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门店店堂整洁、卫生。</w:t>
      </w:r>
    </w:p>
    <w:p>
      <w:pPr>
        <w:keepNext w:val="0"/>
        <w:keepLines w:val="0"/>
        <w:pageBreakBefore w:val="0"/>
        <w:widowControl w:val="0"/>
        <w:wordWrap/>
        <w:topLinePunct w:val="0"/>
        <w:bidi w:val="0"/>
        <w:spacing w:line="360" w:lineRule="auto"/>
        <w:ind w:right="0" w:rightChars="0"/>
        <w:outlineLvl w:val="9"/>
        <w:rPr>
          <w:rFonts w:hint="eastAsia" w:ascii="宋体" w:hAnsi="宋体" w:eastAsia="宋体" w:cs="宋体"/>
          <w:color w:val="000000"/>
          <w:kern w:val="0"/>
          <w:sz w:val="24"/>
          <w:szCs w:val="24"/>
        </w:rPr>
      </w:pPr>
    </w:p>
    <w:p>
      <w:pPr>
        <w:keepNext w:val="0"/>
        <w:keepLines w:val="0"/>
        <w:pageBreakBefore w:val="0"/>
        <w:widowControl w:val="0"/>
        <w:wordWrap/>
        <w:topLinePunct w:val="0"/>
        <w:bidi w:val="0"/>
        <w:spacing w:line="360" w:lineRule="auto"/>
        <w:ind w:left="0" w:leftChars="0" w:right="0" w:rightChars="0" w:firstLine="480" w:firstLineChars="200"/>
        <w:outlineLvl w:val="9"/>
        <w:rPr>
          <w:rFonts w:hint="eastAsia" w:ascii="宋体" w:hAnsi="宋体" w:eastAsia="宋体" w:cs="宋体"/>
          <w:color w:val="000000"/>
          <w:kern w:val="0"/>
          <w:sz w:val="24"/>
          <w:szCs w:val="24"/>
        </w:rPr>
      </w:pPr>
    </w:p>
    <w:p>
      <w:pPr>
        <w:keepNext w:val="0"/>
        <w:keepLines w:val="0"/>
        <w:pageBreakBefore w:val="0"/>
        <w:widowControl w:val="0"/>
        <w:wordWrap/>
        <w:topLinePunct w:val="0"/>
        <w:bidi w:val="0"/>
        <w:spacing w:line="360" w:lineRule="auto"/>
        <w:ind w:left="0" w:leftChars="0" w:right="0" w:rightChars="0" w:firstLine="480" w:firstLineChars="200"/>
        <w:jc w:val="right"/>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四川太极大药房连锁有限公司</w:t>
      </w:r>
    </w:p>
    <w:p>
      <w:pPr>
        <w:keepNext w:val="0"/>
        <w:keepLines w:val="0"/>
        <w:pageBreakBefore w:val="0"/>
        <w:widowControl w:val="0"/>
        <w:wordWrap/>
        <w:topLinePunct w:val="0"/>
        <w:bidi w:val="0"/>
        <w:spacing w:line="360" w:lineRule="auto"/>
        <w:ind w:left="0" w:leftChars="0" w:right="0" w:rightChars="0" w:firstLine="480" w:firstLineChars="200"/>
        <w:jc w:val="right"/>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新都区新繁镇繁江北路药店</w:t>
      </w:r>
    </w:p>
    <w:p>
      <w:pPr>
        <w:keepNext w:val="0"/>
        <w:keepLines w:val="0"/>
        <w:pageBreakBefore w:val="0"/>
        <w:widowControl w:val="0"/>
        <w:wordWrap/>
        <w:topLinePunct w:val="0"/>
        <w:bidi w:val="0"/>
        <w:spacing w:line="360" w:lineRule="auto"/>
        <w:ind w:left="0" w:leftChars="0" w:right="0" w:rightChars="0" w:firstLine="480" w:firstLineChars="200"/>
        <w:jc w:val="right"/>
        <w:outlineLvl w:val="9"/>
        <w:rPr>
          <w:rFonts w:hint="eastAsia" w:ascii="宋体" w:hAnsi="宋体" w:eastAsia="宋体" w:cs="宋体"/>
          <w:b w:val="0"/>
          <w:bCs/>
          <w:sz w:val="24"/>
          <w:szCs w:val="24"/>
          <w:lang w:val="en-US" w:eastAsia="zh-CN"/>
        </w:rPr>
      </w:pPr>
    </w:p>
    <w:p>
      <w:pPr>
        <w:ind w:firstLine="480"/>
        <w:jc w:val="righ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2016年7月12日</w:t>
      </w:r>
    </w:p>
    <w:sectPr>
      <w:pgSz w:w="11906" w:h="16838"/>
      <w:pgMar w:top="820" w:right="866" w:bottom="8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swiss"/>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仿宋">
    <w:panose1 w:val="02010609060101010101"/>
    <w:charset w:val="86"/>
    <w:family w:val="decorative"/>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F682E"/>
    <w:rsid w:val="006823CF"/>
    <w:rsid w:val="03F6348B"/>
    <w:rsid w:val="1D1500DB"/>
    <w:rsid w:val="365D0BBE"/>
    <w:rsid w:val="369D7429"/>
    <w:rsid w:val="375F682E"/>
    <w:rsid w:val="38916AC6"/>
    <w:rsid w:val="3BAB2075"/>
    <w:rsid w:val="4D424614"/>
    <w:rsid w:val="5ADE0A23"/>
    <w:rsid w:val="5CE82D05"/>
    <w:rsid w:val="5F3C12CD"/>
    <w:rsid w:val="5F420C58"/>
    <w:rsid w:val="5FE65EE3"/>
    <w:rsid w:val="69545446"/>
    <w:rsid w:val="6DA96E8E"/>
    <w:rsid w:val="6E797F86"/>
    <w:rsid w:val="70EA11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2016-07-13T06:40:00Z</dcterms:created>
  <dc:creator>Administrator</dc:creator>
  <cp:lastModifiedBy>lenovo</cp:lastModifiedBy>
  <dcterms:modified xsi:type="dcterms:W3CDTF">2016-07-13T07:56:51Z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